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2"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611"/>
      </w:tblGrid>
      <w:tr w:rsidR="00684F5C" w:rsidRPr="00C17A2E" w14:paraId="28499638" w14:textId="77777777" w:rsidTr="000E3622">
        <w:tc>
          <w:tcPr>
            <w:tcW w:w="2547" w:type="dxa"/>
            <w:tcBorders>
              <w:top w:val="nil"/>
              <w:left w:val="nil"/>
              <w:bottom w:val="single" w:sz="4" w:space="0" w:color="D9D9D9" w:themeColor="background1" w:themeShade="D9"/>
              <w:right w:val="single" w:sz="4" w:space="0" w:color="D9D9D9" w:themeColor="background1" w:themeShade="D9"/>
            </w:tcBorders>
            <w:hideMark/>
          </w:tcPr>
          <w:p w14:paraId="67D0FFD3" w14:textId="2012D2F5" w:rsidR="00684F5C" w:rsidRPr="00F63DC3" w:rsidRDefault="00815D14" w:rsidP="00684F5C">
            <w:pPr>
              <w:pStyle w:val="Heading1"/>
              <w:rPr>
                <w:rFonts w:ascii="Open Sans" w:hAnsi="Open Sans" w:cs="Open Sans"/>
                <w:color w:val="0099A0"/>
              </w:rPr>
            </w:pPr>
            <w:r>
              <w:rPr>
                <w:rFonts w:ascii="Open Sans" w:hAnsi="Open Sans" w:cs="Open Sans"/>
                <w:color w:val="0099A0"/>
              </w:rPr>
              <w:t>Title</w:t>
            </w:r>
            <w:r w:rsidR="00684F5C" w:rsidRPr="00F63DC3">
              <w:rPr>
                <w:rFonts w:ascii="Open Sans" w:hAnsi="Open Sans" w:cs="Open Sans"/>
                <w:color w:val="0099A0"/>
              </w:rPr>
              <w:t>:</w:t>
            </w:r>
          </w:p>
        </w:tc>
        <w:tc>
          <w:tcPr>
            <w:tcW w:w="6611" w:type="dxa"/>
            <w:tcBorders>
              <w:top w:val="nil"/>
              <w:left w:val="single" w:sz="4" w:space="0" w:color="D9D9D9" w:themeColor="background1" w:themeShade="D9"/>
              <w:bottom w:val="single" w:sz="4" w:space="0" w:color="D9D9D9" w:themeColor="background1" w:themeShade="D9"/>
              <w:right w:val="nil"/>
            </w:tcBorders>
          </w:tcPr>
          <w:p w14:paraId="57F3351E" w14:textId="2C6AA591" w:rsidR="00684F5C" w:rsidRPr="009727B3" w:rsidRDefault="009727B3">
            <w:pPr>
              <w:spacing w:before="120" w:after="120"/>
              <w:rPr>
                <w:i/>
                <w:iCs/>
              </w:rPr>
            </w:pPr>
            <w:r w:rsidRPr="009727B3">
              <w:rPr>
                <w:rStyle w:val="SubtleEmphasis"/>
                <w:rFonts w:ascii="Open Sans" w:hAnsi="Open Sans" w:cs="Open Sans"/>
                <w:i w:val="0"/>
                <w:iCs w:val="0"/>
                <w:color w:val="20275C"/>
              </w:rPr>
              <w:t xml:space="preserve">SaILS </w:t>
            </w:r>
            <w:r w:rsidR="004305F3">
              <w:rPr>
                <w:rStyle w:val="SubtleEmphasis"/>
                <w:rFonts w:ascii="Open Sans" w:hAnsi="Open Sans" w:cs="Open Sans"/>
                <w:i w:val="0"/>
                <w:iCs w:val="0"/>
                <w:color w:val="20275C"/>
              </w:rPr>
              <w:t xml:space="preserve">DPS </w:t>
            </w:r>
            <w:r w:rsidRPr="009727B3">
              <w:rPr>
                <w:rStyle w:val="SubtleEmphasis"/>
                <w:rFonts w:ascii="Open Sans" w:hAnsi="Open Sans" w:cs="Open Sans"/>
                <w:i w:val="0"/>
                <w:iCs w:val="0"/>
                <w:color w:val="20275C"/>
              </w:rPr>
              <w:t>Pre</w:t>
            </w:r>
            <w:r w:rsidR="004305F3">
              <w:rPr>
                <w:rStyle w:val="SubtleEmphasis"/>
                <w:rFonts w:ascii="Open Sans" w:hAnsi="Open Sans" w:cs="Open Sans"/>
                <w:i w:val="0"/>
                <w:iCs w:val="0"/>
                <w:color w:val="20275C"/>
              </w:rPr>
              <w:t>-</w:t>
            </w:r>
            <w:r w:rsidRPr="009727B3">
              <w:rPr>
                <w:rStyle w:val="SubtleEmphasis"/>
                <w:rFonts w:ascii="Open Sans" w:hAnsi="Open Sans" w:cs="Open Sans"/>
                <w:i w:val="0"/>
                <w:iCs w:val="0"/>
                <w:color w:val="20275C"/>
              </w:rPr>
              <w:t>Round 3 Q&amp;A</w:t>
            </w:r>
          </w:p>
        </w:tc>
      </w:tr>
      <w:tr w:rsidR="00684F5C" w:rsidRPr="00C17A2E" w14:paraId="177D2AC4" w14:textId="77777777" w:rsidTr="000E3622">
        <w:tc>
          <w:tcPr>
            <w:tcW w:w="25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2A149F69"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4345A68" w14:textId="63003F8E" w:rsidR="00684F5C" w:rsidRPr="003B25FB" w:rsidRDefault="009727B3">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December 2020</w:t>
            </w:r>
          </w:p>
        </w:tc>
      </w:tr>
      <w:tr w:rsidR="00684F5C" w:rsidRPr="00C17A2E" w14:paraId="3894BE56" w14:textId="77777777" w:rsidTr="000E3622">
        <w:tc>
          <w:tcPr>
            <w:tcW w:w="25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37DE52BB"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Author:</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718AC3E" w14:textId="107512A8" w:rsidR="00684F5C" w:rsidRPr="003B25FB" w:rsidRDefault="009727B3">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Placements North West</w:t>
            </w:r>
          </w:p>
        </w:tc>
      </w:tr>
    </w:tbl>
    <w:p w14:paraId="3056D200" w14:textId="77777777" w:rsidR="00E77B6A" w:rsidRDefault="00E77B6A" w:rsidP="00684F5C">
      <w:pPr>
        <w:pStyle w:val="Heading1"/>
        <w:rPr>
          <w:rFonts w:ascii="Open Sans" w:hAnsi="Open Sans" w:cs="Open Sans"/>
          <w:color w:val="0099A0"/>
          <w:sz w:val="28"/>
          <w:szCs w:val="28"/>
        </w:rPr>
      </w:pPr>
    </w:p>
    <w:p w14:paraId="50F46509" w14:textId="156CDA21" w:rsidR="006618A6" w:rsidRPr="006618A6" w:rsidRDefault="00684F5C" w:rsidP="00684F5C">
      <w:pPr>
        <w:pStyle w:val="Heading1"/>
        <w:rPr>
          <w:rFonts w:ascii="Open Sans" w:hAnsi="Open Sans" w:cs="Open Sans"/>
          <w:color w:val="0099A0"/>
          <w:sz w:val="28"/>
          <w:szCs w:val="28"/>
        </w:rPr>
      </w:pPr>
      <w:r w:rsidRPr="006618A6">
        <w:rPr>
          <w:rFonts w:ascii="Open Sans" w:hAnsi="Open Sans" w:cs="Open Sans"/>
          <w:color w:val="0099A0"/>
          <w:sz w:val="28"/>
          <w:szCs w:val="28"/>
        </w:rPr>
        <w:t>S</w:t>
      </w:r>
      <w:r w:rsidR="005744F7">
        <w:rPr>
          <w:rFonts w:ascii="Open Sans" w:hAnsi="Open Sans" w:cs="Open Sans"/>
          <w:color w:val="0099A0"/>
          <w:sz w:val="28"/>
          <w:szCs w:val="28"/>
        </w:rPr>
        <w:t>ummary</w:t>
      </w:r>
    </w:p>
    <w:p w14:paraId="673AD91D" w14:textId="030B897B" w:rsidR="005F3AB4" w:rsidRDefault="004E0C6E" w:rsidP="000720D8">
      <w:pPr>
        <w:spacing w:before="120" w:after="120" w:line="240" w:lineRule="auto"/>
        <w:rPr>
          <w:rStyle w:val="Emphasis"/>
          <w:rFonts w:ascii="Open Sans" w:hAnsi="Open Sans" w:cs="Open Sans"/>
          <w:i w:val="0"/>
          <w:iCs w:val="0"/>
          <w:color w:val="20275C"/>
        </w:rPr>
      </w:pPr>
      <w:r>
        <w:rPr>
          <w:rStyle w:val="Emphasis"/>
          <w:rFonts w:ascii="Open Sans" w:hAnsi="Open Sans" w:cs="Open Sans"/>
          <w:i w:val="0"/>
          <w:iCs w:val="0"/>
          <w:color w:val="20275C"/>
        </w:rPr>
        <w:t xml:space="preserve">These questions have been compiled from the provider sessions that took place 3 December and 8 December 2020. </w:t>
      </w:r>
    </w:p>
    <w:p w14:paraId="6CA5E835" w14:textId="77777777" w:rsidR="00F36EC2" w:rsidRDefault="00F36EC2" w:rsidP="000720D8">
      <w:pPr>
        <w:spacing w:before="120" w:after="120" w:line="240" w:lineRule="auto"/>
        <w:rPr>
          <w:rStyle w:val="Emphasis"/>
          <w:rFonts w:ascii="Open Sans" w:hAnsi="Open Sans" w:cs="Open Sans"/>
          <w:i w:val="0"/>
          <w:iCs w:val="0"/>
          <w:color w:val="20275C"/>
        </w:rPr>
      </w:pPr>
    </w:p>
    <w:p w14:paraId="6159CB48" w14:textId="20D5513D" w:rsidR="004E0C6E" w:rsidRPr="004E0C6E" w:rsidRDefault="00C3636D" w:rsidP="004E0C6E">
      <w:pPr>
        <w:pStyle w:val="Heading1"/>
        <w:rPr>
          <w:rFonts w:ascii="Open Sans" w:hAnsi="Open Sans" w:cs="Open Sans"/>
          <w:color w:val="0099A0"/>
          <w:sz w:val="28"/>
          <w:szCs w:val="28"/>
        </w:rPr>
      </w:pPr>
      <w:r>
        <w:rPr>
          <w:rFonts w:ascii="Open Sans" w:hAnsi="Open Sans" w:cs="Open Sans"/>
          <w:color w:val="0099A0"/>
          <w:sz w:val="28"/>
          <w:szCs w:val="28"/>
        </w:rPr>
        <w:t>The</w:t>
      </w:r>
      <w:r w:rsidR="004E0C6E" w:rsidRPr="004E0C6E">
        <w:rPr>
          <w:rFonts w:ascii="Open Sans" w:hAnsi="Open Sans" w:cs="Open Sans"/>
          <w:color w:val="0099A0"/>
          <w:sz w:val="28"/>
          <w:szCs w:val="28"/>
        </w:rPr>
        <w:t xml:space="preserve"> placements LAs are looking for</w:t>
      </w:r>
    </w:p>
    <w:p w14:paraId="0D4B1D38" w14:textId="648CC445" w:rsidR="004E0C6E" w:rsidRDefault="00F36EC2"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It’s</w:t>
      </w:r>
      <w:r w:rsidR="004E0C6E" w:rsidRPr="004E0C6E">
        <w:rPr>
          <w:rStyle w:val="Emphasis"/>
          <w:rFonts w:ascii="Open Sans" w:hAnsi="Open Sans" w:cs="Open Sans"/>
          <w:color w:val="20275C"/>
        </w:rPr>
        <w:t xml:space="preserve"> difficult as a provider to grow in areas that aren’t local to us, it would be helpful to know how often you look outside your areas, can providers be given an idea of where the gaps are?</w:t>
      </w:r>
      <w:r w:rsidR="00C3636D">
        <w:rPr>
          <w:rStyle w:val="Emphasis"/>
          <w:rFonts w:ascii="Open Sans" w:hAnsi="Open Sans" w:cs="Open Sans"/>
          <w:color w:val="20275C"/>
        </w:rPr>
        <w:br/>
      </w:r>
      <w:r>
        <w:rPr>
          <w:rStyle w:val="Emphasis"/>
          <w:rFonts w:ascii="Open Sans" w:hAnsi="Open Sans" w:cs="Open Sans"/>
          <w:i w:val="0"/>
          <w:iCs w:val="0"/>
          <w:color w:val="20275C"/>
        </w:rPr>
        <w:t>It has been difficult for us to effectively assess sufficiency as</w:t>
      </w:r>
      <w:r w:rsidR="004E0C6E" w:rsidRPr="004E0C6E">
        <w:rPr>
          <w:rStyle w:val="Emphasis"/>
          <w:rFonts w:ascii="Open Sans" w:hAnsi="Open Sans" w:cs="Open Sans"/>
          <w:i w:val="0"/>
          <w:iCs w:val="0"/>
          <w:color w:val="20275C"/>
        </w:rPr>
        <w:t xml:space="preserve"> searching is different</w:t>
      </w:r>
      <w:r>
        <w:rPr>
          <w:rStyle w:val="Emphasis"/>
          <w:rFonts w:ascii="Open Sans" w:hAnsi="Open Sans" w:cs="Open Sans"/>
          <w:i w:val="0"/>
          <w:iCs w:val="0"/>
          <w:color w:val="20275C"/>
        </w:rPr>
        <w:t xml:space="preserve">. We advise </w:t>
      </w:r>
      <w:r w:rsidR="004E0C6E" w:rsidRPr="004E0C6E">
        <w:rPr>
          <w:rStyle w:val="Emphasis"/>
          <w:rFonts w:ascii="Open Sans" w:hAnsi="Open Sans" w:cs="Open Sans"/>
          <w:i w:val="0"/>
          <w:iCs w:val="0"/>
          <w:color w:val="20275C"/>
        </w:rPr>
        <w:t>providers to have a relationship with the local authority commissioners.</w:t>
      </w:r>
    </w:p>
    <w:p w14:paraId="0366FC66" w14:textId="03D851B3" w:rsidR="00F36EC2" w:rsidRPr="00F36EC2" w:rsidRDefault="00F36EC2" w:rsidP="00F36EC2">
      <w:pPr>
        <w:spacing w:before="120" w:after="120" w:line="240" w:lineRule="auto"/>
        <w:rPr>
          <w:rStyle w:val="Emphasis"/>
          <w:rFonts w:ascii="Open Sans" w:hAnsi="Open Sans" w:cs="Open Sans"/>
          <w:i w:val="0"/>
          <w:iCs w:val="0"/>
          <w:color w:val="20275C"/>
        </w:rPr>
      </w:pPr>
      <w:r w:rsidRPr="00F36EC2">
        <w:rPr>
          <w:rStyle w:val="Emphasis"/>
          <w:rFonts w:ascii="Open Sans" w:hAnsi="Open Sans" w:cs="Open Sans"/>
          <w:color w:val="20275C"/>
        </w:rPr>
        <w:t>One thing we come up against when taking placement is, Is SaILS placement right for those with complex needs? How do you decide if is suitable?</w:t>
      </w:r>
      <w:r w:rsidR="00C3636D">
        <w:rPr>
          <w:rStyle w:val="Emphasis"/>
          <w:rFonts w:ascii="Open Sans" w:hAnsi="Open Sans" w:cs="Open Sans"/>
          <w:color w:val="20275C"/>
        </w:rPr>
        <w:br/>
      </w:r>
      <w:r w:rsidRPr="00F36EC2">
        <w:rPr>
          <w:rStyle w:val="Emphasis"/>
          <w:rFonts w:ascii="Open Sans" w:hAnsi="Open Sans" w:cs="Open Sans"/>
          <w:i w:val="0"/>
          <w:iCs w:val="0"/>
          <w:color w:val="20275C"/>
        </w:rPr>
        <w:t>It needs to be discussed in depth with provider and Local Authority. Needs to be confirmed it would be support only and the young person’s needs match this.</w:t>
      </w:r>
    </w:p>
    <w:p w14:paraId="2D076665" w14:textId="77777777" w:rsidR="00F36EC2" w:rsidRPr="004E0C6E" w:rsidRDefault="00F36EC2" w:rsidP="004E0C6E">
      <w:pPr>
        <w:spacing w:before="120" w:after="120" w:line="240" w:lineRule="auto"/>
        <w:rPr>
          <w:rStyle w:val="Emphasis"/>
          <w:rFonts w:ascii="Open Sans" w:hAnsi="Open Sans" w:cs="Open Sans"/>
          <w:i w:val="0"/>
          <w:iCs w:val="0"/>
          <w:color w:val="20275C"/>
        </w:rPr>
      </w:pPr>
    </w:p>
    <w:p w14:paraId="64518EEB" w14:textId="442FA83F" w:rsidR="004E0C6E" w:rsidRPr="004E0C6E" w:rsidRDefault="004E0C6E" w:rsidP="004E0C6E">
      <w:pPr>
        <w:pStyle w:val="Heading1"/>
        <w:rPr>
          <w:rFonts w:ascii="Open Sans" w:hAnsi="Open Sans" w:cs="Open Sans"/>
          <w:color w:val="0099A0"/>
          <w:sz w:val="28"/>
          <w:szCs w:val="28"/>
        </w:rPr>
      </w:pPr>
      <w:r w:rsidRPr="004E0C6E">
        <w:rPr>
          <w:rFonts w:ascii="Open Sans" w:hAnsi="Open Sans" w:cs="Open Sans"/>
          <w:color w:val="0099A0"/>
          <w:sz w:val="28"/>
          <w:szCs w:val="28"/>
        </w:rPr>
        <w:t xml:space="preserve">Policy evaluation </w:t>
      </w:r>
    </w:p>
    <w:p w14:paraId="5E82DD2A" w14:textId="7F82BC55"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Are you happy with wider organisation polices that a tailored to the services by local procedures?</w:t>
      </w:r>
      <w:r w:rsidR="00C3636D">
        <w:rPr>
          <w:rStyle w:val="Emphasis"/>
          <w:rFonts w:ascii="Open Sans" w:hAnsi="Open Sans" w:cs="Open Sans"/>
          <w:color w:val="20275C"/>
        </w:rPr>
        <w:br/>
      </w:r>
      <w:r w:rsidRPr="004E0C6E">
        <w:rPr>
          <w:rStyle w:val="Emphasis"/>
          <w:rFonts w:ascii="Open Sans" w:hAnsi="Open Sans" w:cs="Open Sans"/>
          <w:i w:val="0"/>
          <w:iCs w:val="0"/>
          <w:color w:val="20275C"/>
        </w:rPr>
        <w:t>Can be used but must be adapted completely to represent the service offered</w:t>
      </w:r>
      <w:r w:rsidR="00F36EC2">
        <w:rPr>
          <w:rStyle w:val="Emphasis"/>
          <w:rFonts w:ascii="Open Sans" w:hAnsi="Open Sans" w:cs="Open Sans"/>
          <w:i w:val="0"/>
          <w:iCs w:val="0"/>
          <w:color w:val="20275C"/>
        </w:rPr>
        <w:t xml:space="preserve"> or be clear which aspects of the policy relate to the relevant service</w:t>
      </w:r>
      <w:r w:rsidRPr="004E0C6E">
        <w:rPr>
          <w:rStyle w:val="Emphasis"/>
          <w:rFonts w:ascii="Open Sans" w:hAnsi="Open Sans" w:cs="Open Sans"/>
          <w:i w:val="0"/>
          <w:iCs w:val="0"/>
          <w:color w:val="20275C"/>
        </w:rPr>
        <w:t>.</w:t>
      </w:r>
    </w:p>
    <w:p w14:paraId="32D12D8C" w14:textId="2A31703D"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If our policy has been lifted and used by someone else, how do you ensure we are not penalised for that? How would you work out who the policy belongs to?</w:t>
      </w:r>
      <w:r w:rsidR="00C3636D">
        <w:rPr>
          <w:rStyle w:val="Emphasis"/>
          <w:rFonts w:ascii="Open Sans" w:hAnsi="Open Sans" w:cs="Open Sans"/>
          <w:color w:val="20275C"/>
        </w:rPr>
        <w:br/>
      </w:r>
      <w:r w:rsidRPr="004E0C6E">
        <w:rPr>
          <w:rStyle w:val="Emphasis"/>
          <w:rFonts w:ascii="Open Sans" w:hAnsi="Open Sans" w:cs="Open Sans"/>
          <w:i w:val="0"/>
          <w:iCs w:val="0"/>
          <w:color w:val="20275C"/>
        </w:rPr>
        <w:t>It would cause concern</w:t>
      </w:r>
      <w:r>
        <w:rPr>
          <w:rStyle w:val="Emphasis"/>
          <w:rFonts w:ascii="Open Sans" w:hAnsi="Open Sans" w:cs="Open Sans"/>
          <w:i w:val="0"/>
          <w:iCs w:val="0"/>
          <w:color w:val="20275C"/>
        </w:rPr>
        <w:t>,</w:t>
      </w:r>
      <w:r w:rsidRPr="004E0C6E">
        <w:rPr>
          <w:rStyle w:val="Emphasis"/>
          <w:rFonts w:ascii="Open Sans" w:hAnsi="Open Sans" w:cs="Open Sans"/>
          <w:i w:val="0"/>
          <w:iCs w:val="0"/>
          <w:color w:val="20275C"/>
        </w:rPr>
        <w:t xml:space="preserve"> but we </w:t>
      </w:r>
      <w:r w:rsidR="00F36EC2">
        <w:rPr>
          <w:rStyle w:val="Emphasis"/>
          <w:rFonts w:ascii="Open Sans" w:hAnsi="Open Sans" w:cs="Open Sans"/>
          <w:i w:val="0"/>
          <w:iCs w:val="0"/>
          <w:color w:val="20275C"/>
        </w:rPr>
        <w:t>would not fail a submission</w:t>
      </w:r>
      <w:r w:rsidRPr="004E0C6E">
        <w:rPr>
          <w:rStyle w:val="Emphasis"/>
          <w:rFonts w:ascii="Open Sans" w:hAnsi="Open Sans" w:cs="Open Sans"/>
          <w:i w:val="0"/>
          <w:iCs w:val="0"/>
          <w:color w:val="20275C"/>
        </w:rPr>
        <w:t xml:space="preserve"> if the policy is fit for purpose. </w:t>
      </w:r>
    </w:p>
    <w:p w14:paraId="0DEFDB94" w14:textId="6505B5C4"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Do policies need have a certain font size? Some LAs require them to be a certain size or font. Do you have such requirements?</w:t>
      </w:r>
      <w:r w:rsidR="00C3636D">
        <w:rPr>
          <w:rStyle w:val="Emphasis"/>
          <w:rFonts w:ascii="Open Sans" w:hAnsi="Open Sans" w:cs="Open Sans"/>
          <w:color w:val="20275C"/>
        </w:rPr>
        <w:br/>
      </w:r>
      <w:r w:rsidRPr="004E0C6E">
        <w:rPr>
          <w:rStyle w:val="Emphasis"/>
          <w:rFonts w:ascii="Open Sans" w:hAnsi="Open Sans" w:cs="Open Sans"/>
          <w:i w:val="0"/>
          <w:iCs w:val="0"/>
          <w:color w:val="20275C"/>
        </w:rPr>
        <w:t>No</w:t>
      </w:r>
      <w:r w:rsidR="00F36EC2">
        <w:rPr>
          <w:rStyle w:val="Emphasis"/>
          <w:rFonts w:ascii="Open Sans" w:hAnsi="Open Sans" w:cs="Open Sans"/>
          <w:i w:val="0"/>
          <w:iCs w:val="0"/>
          <w:color w:val="20275C"/>
        </w:rPr>
        <w:t>.</w:t>
      </w:r>
    </w:p>
    <w:p w14:paraId="75630C89" w14:textId="54F97B7F"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Safeguarding policy says to include LADO details, we operate in 22 area</w:t>
      </w:r>
      <w:r w:rsidR="00F36EC2">
        <w:rPr>
          <w:rStyle w:val="Emphasis"/>
          <w:rFonts w:ascii="Open Sans" w:hAnsi="Open Sans" w:cs="Open Sans"/>
          <w:color w:val="20275C"/>
        </w:rPr>
        <w:t>s</w:t>
      </w:r>
      <w:r w:rsidRPr="004E0C6E">
        <w:rPr>
          <w:rStyle w:val="Emphasis"/>
          <w:rFonts w:ascii="Open Sans" w:hAnsi="Open Sans" w:cs="Open Sans"/>
          <w:color w:val="20275C"/>
        </w:rPr>
        <w:t>, would we include all the details?</w:t>
      </w:r>
      <w:r w:rsidR="00C3636D">
        <w:rPr>
          <w:rStyle w:val="Emphasis"/>
          <w:rFonts w:ascii="Open Sans" w:hAnsi="Open Sans" w:cs="Open Sans"/>
          <w:color w:val="20275C"/>
        </w:rPr>
        <w:br/>
      </w:r>
      <w:r w:rsidRPr="004E0C6E">
        <w:rPr>
          <w:rStyle w:val="Emphasis"/>
          <w:rFonts w:ascii="Open Sans" w:hAnsi="Open Sans" w:cs="Open Sans"/>
          <w:i w:val="0"/>
          <w:iCs w:val="0"/>
          <w:color w:val="20275C"/>
        </w:rPr>
        <w:t>Yes, include a chart to include the details or state where staff would find these details.</w:t>
      </w:r>
    </w:p>
    <w:p w14:paraId="17349A0A" w14:textId="61898E33"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 xml:space="preserve">Missing from </w:t>
      </w:r>
      <w:r w:rsidR="00F36EC2">
        <w:rPr>
          <w:rStyle w:val="Emphasis"/>
          <w:rFonts w:ascii="Open Sans" w:hAnsi="Open Sans" w:cs="Open Sans"/>
          <w:color w:val="20275C"/>
        </w:rPr>
        <w:t>H</w:t>
      </w:r>
      <w:r w:rsidRPr="004E0C6E">
        <w:rPr>
          <w:rStyle w:val="Emphasis"/>
          <w:rFonts w:ascii="Open Sans" w:hAnsi="Open Sans" w:cs="Open Sans"/>
          <w:color w:val="20275C"/>
        </w:rPr>
        <w:t>ome policy says to include a template, we don’t usually do these interviews</w:t>
      </w:r>
      <w:r w:rsidRPr="004E0C6E">
        <w:rPr>
          <w:rStyle w:val="Emphasis"/>
          <w:rFonts w:ascii="Open Sans" w:hAnsi="Open Sans" w:cs="Open Sans"/>
          <w:color w:val="20275C"/>
        </w:rPr>
        <w:t xml:space="preserve"> ourselves</w:t>
      </w:r>
      <w:r w:rsidRPr="004E0C6E">
        <w:rPr>
          <w:rStyle w:val="Emphasis"/>
          <w:rFonts w:ascii="Open Sans" w:hAnsi="Open Sans" w:cs="Open Sans"/>
          <w:color w:val="20275C"/>
        </w:rPr>
        <w:t xml:space="preserve"> so what happens then?</w:t>
      </w:r>
      <w:r w:rsidR="00C3636D">
        <w:rPr>
          <w:rStyle w:val="Emphasis"/>
          <w:rFonts w:ascii="Open Sans" w:hAnsi="Open Sans" w:cs="Open Sans"/>
          <w:color w:val="20275C"/>
        </w:rPr>
        <w:br/>
      </w:r>
      <w:r w:rsidRPr="004E0C6E">
        <w:rPr>
          <w:rStyle w:val="Emphasis"/>
          <w:rFonts w:ascii="Open Sans" w:hAnsi="Open Sans" w:cs="Open Sans"/>
          <w:i w:val="0"/>
          <w:iCs w:val="0"/>
          <w:color w:val="20275C"/>
        </w:rPr>
        <w:t xml:space="preserve">We are looking to see that </w:t>
      </w:r>
      <w:r w:rsidRPr="004E0C6E">
        <w:rPr>
          <w:rStyle w:val="Emphasis"/>
          <w:rFonts w:ascii="Open Sans" w:hAnsi="Open Sans" w:cs="Open Sans"/>
          <w:i w:val="0"/>
          <w:iCs w:val="0"/>
          <w:color w:val="20275C"/>
        </w:rPr>
        <w:t>you</w:t>
      </w:r>
      <w:r w:rsidRPr="004E0C6E">
        <w:rPr>
          <w:rStyle w:val="Emphasis"/>
          <w:rFonts w:ascii="Open Sans" w:hAnsi="Open Sans" w:cs="Open Sans"/>
          <w:i w:val="0"/>
          <w:iCs w:val="0"/>
          <w:color w:val="20275C"/>
        </w:rPr>
        <w:t xml:space="preserve"> are</w:t>
      </w:r>
      <w:r w:rsidRPr="004E0C6E">
        <w:rPr>
          <w:rStyle w:val="Emphasis"/>
          <w:rFonts w:ascii="Open Sans" w:hAnsi="Open Sans" w:cs="Open Sans"/>
          <w:i w:val="0"/>
          <w:iCs w:val="0"/>
          <w:color w:val="20275C"/>
        </w:rPr>
        <w:t xml:space="preserve"> monitoring that the </w:t>
      </w:r>
      <w:r w:rsidRPr="004E0C6E">
        <w:rPr>
          <w:rStyle w:val="Emphasis"/>
          <w:rFonts w:ascii="Open Sans" w:hAnsi="Open Sans" w:cs="Open Sans"/>
          <w:i w:val="0"/>
          <w:iCs w:val="0"/>
          <w:color w:val="20275C"/>
        </w:rPr>
        <w:t>young person</w:t>
      </w:r>
      <w:r w:rsidRPr="004E0C6E">
        <w:rPr>
          <w:rStyle w:val="Emphasis"/>
          <w:rFonts w:ascii="Open Sans" w:hAnsi="Open Sans" w:cs="Open Sans"/>
          <w:i w:val="0"/>
          <w:iCs w:val="0"/>
          <w:color w:val="20275C"/>
        </w:rPr>
        <w:t xml:space="preserve"> has the interview and </w:t>
      </w:r>
      <w:r w:rsidRPr="004E0C6E">
        <w:rPr>
          <w:rStyle w:val="Emphasis"/>
          <w:rFonts w:ascii="Open Sans" w:hAnsi="Open Sans" w:cs="Open Sans"/>
          <w:i w:val="0"/>
          <w:iCs w:val="0"/>
          <w:color w:val="20275C"/>
        </w:rPr>
        <w:t>young person</w:t>
      </w:r>
      <w:r w:rsidRPr="004E0C6E">
        <w:rPr>
          <w:rStyle w:val="Emphasis"/>
          <w:rFonts w:ascii="Open Sans" w:hAnsi="Open Sans" w:cs="Open Sans"/>
          <w:i w:val="0"/>
          <w:iCs w:val="0"/>
          <w:color w:val="20275C"/>
        </w:rPr>
        <w:t xml:space="preserve"> </w:t>
      </w:r>
      <w:r w:rsidR="00F36EC2" w:rsidRPr="004E0C6E">
        <w:rPr>
          <w:rStyle w:val="Emphasis"/>
          <w:rFonts w:ascii="Open Sans" w:hAnsi="Open Sans" w:cs="Open Sans"/>
          <w:i w:val="0"/>
          <w:iCs w:val="0"/>
          <w:color w:val="20275C"/>
        </w:rPr>
        <w:t>can</w:t>
      </w:r>
      <w:r w:rsidRPr="004E0C6E">
        <w:rPr>
          <w:rStyle w:val="Emphasis"/>
          <w:rFonts w:ascii="Open Sans" w:hAnsi="Open Sans" w:cs="Open Sans"/>
          <w:i w:val="0"/>
          <w:iCs w:val="0"/>
          <w:color w:val="20275C"/>
        </w:rPr>
        <w:t xml:space="preserve"> do that return</w:t>
      </w:r>
      <w:r>
        <w:rPr>
          <w:rStyle w:val="Emphasis"/>
          <w:rFonts w:ascii="Open Sans" w:hAnsi="Open Sans" w:cs="Open Sans"/>
          <w:i w:val="0"/>
          <w:iCs w:val="0"/>
          <w:color w:val="20275C"/>
        </w:rPr>
        <w:t xml:space="preserve"> interview</w:t>
      </w:r>
      <w:r w:rsidRPr="004E0C6E">
        <w:rPr>
          <w:rStyle w:val="Emphasis"/>
          <w:rFonts w:ascii="Open Sans" w:hAnsi="Open Sans" w:cs="Open Sans"/>
          <w:i w:val="0"/>
          <w:iCs w:val="0"/>
          <w:color w:val="20275C"/>
        </w:rPr>
        <w:t xml:space="preserve"> with a suitable person.</w:t>
      </w:r>
    </w:p>
    <w:p w14:paraId="1F418E6F" w14:textId="160AE9CB" w:rsidR="00F36EC2" w:rsidRPr="00F36EC2" w:rsidRDefault="00F36EC2" w:rsidP="00F36EC2">
      <w:pPr>
        <w:spacing w:before="120" w:after="120" w:line="240" w:lineRule="auto"/>
        <w:rPr>
          <w:rStyle w:val="Emphasis"/>
          <w:rFonts w:ascii="Open Sans" w:hAnsi="Open Sans" w:cs="Open Sans"/>
          <w:i w:val="0"/>
          <w:iCs w:val="0"/>
          <w:color w:val="20275C"/>
        </w:rPr>
      </w:pPr>
      <w:r w:rsidRPr="00F36EC2">
        <w:rPr>
          <w:rStyle w:val="Emphasis"/>
          <w:rFonts w:ascii="Open Sans" w:hAnsi="Open Sans" w:cs="Open Sans"/>
          <w:color w:val="20275C"/>
        </w:rPr>
        <w:lastRenderedPageBreak/>
        <w:t xml:space="preserve">Do organisational charts just need to have job </w:t>
      </w:r>
      <w:r w:rsidRPr="00F36EC2">
        <w:rPr>
          <w:rStyle w:val="Emphasis"/>
          <w:rFonts w:ascii="Open Sans" w:hAnsi="Open Sans" w:cs="Open Sans"/>
          <w:color w:val="20275C"/>
        </w:rPr>
        <w:t>titles,</w:t>
      </w:r>
      <w:r w:rsidRPr="00F36EC2">
        <w:rPr>
          <w:rStyle w:val="Emphasis"/>
          <w:rFonts w:ascii="Open Sans" w:hAnsi="Open Sans" w:cs="Open Sans"/>
          <w:color w:val="20275C"/>
        </w:rPr>
        <w:t xml:space="preserve"> or do you want names too?</w:t>
      </w:r>
      <w:r w:rsidR="00C3636D">
        <w:rPr>
          <w:rStyle w:val="Emphasis"/>
          <w:rFonts w:ascii="Open Sans" w:hAnsi="Open Sans" w:cs="Open Sans"/>
          <w:color w:val="20275C"/>
        </w:rPr>
        <w:br/>
      </w:r>
      <w:r w:rsidRPr="00F36EC2">
        <w:rPr>
          <w:rStyle w:val="Emphasis"/>
          <w:rFonts w:ascii="Open Sans" w:hAnsi="Open Sans" w:cs="Open Sans"/>
          <w:i w:val="0"/>
          <w:iCs w:val="0"/>
          <w:color w:val="20275C"/>
        </w:rPr>
        <w:t>Job</w:t>
      </w:r>
      <w:r w:rsidRPr="00F36EC2">
        <w:rPr>
          <w:rStyle w:val="Emphasis"/>
          <w:rFonts w:ascii="Open Sans" w:hAnsi="Open Sans" w:cs="Open Sans"/>
          <w:i w:val="0"/>
          <w:iCs w:val="0"/>
          <w:color w:val="20275C"/>
        </w:rPr>
        <w:t xml:space="preserve"> titles </w:t>
      </w:r>
      <w:r w:rsidRPr="00F36EC2">
        <w:rPr>
          <w:rStyle w:val="Emphasis"/>
          <w:rFonts w:ascii="Open Sans" w:hAnsi="Open Sans" w:cs="Open Sans"/>
          <w:i w:val="0"/>
          <w:iCs w:val="0"/>
          <w:color w:val="20275C"/>
        </w:rPr>
        <w:t xml:space="preserve">are helpful, </w:t>
      </w:r>
      <w:r w:rsidRPr="00F36EC2">
        <w:rPr>
          <w:rStyle w:val="Emphasis"/>
          <w:rFonts w:ascii="Open Sans" w:hAnsi="Open Sans" w:cs="Open Sans"/>
          <w:i w:val="0"/>
          <w:iCs w:val="0"/>
          <w:color w:val="20275C"/>
        </w:rPr>
        <w:t>however, there's no specific requirement</w:t>
      </w:r>
      <w:r w:rsidRPr="00F36EC2">
        <w:rPr>
          <w:rStyle w:val="Emphasis"/>
          <w:rFonts w:ascii="Open Sans" w:hAnsi="Open Sans" w:cs="Open Sans"/>
          <w:i w:val="0"/>
          <w:iCs w:val="0"/>
          <w:color w:val="20275C"/>
        </w:rPr>
        <w:t>. I</w:t>
      </w:r>
      <w:r w:rsidRPr="00F36EC2">
        <w:rPr>
          <w:rStyle w:val="Emphasis"/>
          <w:rFonts w:ascii="Open Sans" w:hAnsi="Open Sans" w:cs="Open Sans"/>
          <w:i w:val="0"/>
          <w:iCs w:val="0"/>
          <w:color w:val="20275C"/>
        </w:rPr>
        <w:t>t helps us to be clear if posts are filled or vacant so we can match with the staffing spreadsheet.</w:t>
      </w:r>
    </w:p>
    <w:p w14:paraId="19C5B9C2" w14:textId="1622F709" w:rsidR="00F36EC2" w:rsidRDefault="00F36EC2" w:rsidP="00F36EC2">
      <w:pPr>
        <w:spacing w:before="120" w:after="120" w:line="240" w:lineRule="auto"/>
        <w:rPr>
          <w:rStyle w:val="Emphasis"/>
          <w:rFonts w:ascii="Open Sans" w:hAnsi="Open Sans" w:cs="Open Sans"/>
          <w:i w:val="0"/>
          <w:iCs w:val="0"/>
          <w:color w:val="20275C"/>
        </w:rPr>
      </w:pPr>
      <w:r w:rsidRPr="00F36EC2">
        <w:rPr>
          <w:rStyle w:val="Emphasis"/>
          <w:rFonts w:ascii="Open Sans" w:hAnsi="Open Sans" w:cs="Open Sans"/>
          <w:color w:val="20275C"/>
        </w:rPr>
        <w:t>Non-administration of medication policy, we have this and staff are very clear, however, we have and do come across Social Workers who have y</w:t>
      </w:r>
      <w:r w:rsidRPr="00F36EC2">
        <w:rPr>
          <w:rStyle w:val="Emphasis"/>
          <w:rFonts w:ascii="Open Sans" w:hAnsi="Open Sans" w:cs="Open Sans"/>
          <w:color w:val="20275C"/>
        </w:rPr>
        <w:t>oung people</w:t>
      </w:r>
      <w:r w:rsidRPr="00F36EC2">
        <w:rPr>
          <w:rStyle w:val="Emphasis"/>
          <w:rFonts w:ascii="Open Sans" w:hAnsi="Open Sans" w:cs="Open Sans"/>
          <w:color w:val="20275C"/>
        </w:rPr>
        <w:t xml:space="preserve"> on meds and have high risk of overdose, who insist that there is a higher level of support provided than we can offer. Is there any work being done by LAs with Social workers to educate them on the permitted remits of unregulated provisions?</w:t>
      </w:r>
      <w:r w:rsidR="00C3636D">
        <w:rPr>
          <w:rStyle w:val="Emphasis"/>
          <w:rFonts w:ascii="Open Sans" w:hAnsi="Open Sans" w:cs="Open Sans"/>
          <w:color w:val="20275C"/>
        </w:rPr>
        <w:br/>
      </w:r>
      <w:r w:rsidRPr="00F36EC2">
        <w:rPr>
          <w:rStyle w:val="Emphasis"/>
          <w:rFonts w:ascii="Open Sans" w:hAnsi="Open Sans" w:cs="Open Sans"/>
          <w:i w:val="0"/>
          <w:iCs w:val="0"/>
          <w:color w:val="20275C"/>
        </w:rPr>
        <w:t>We</w:t>
      </w:r>
      <w:r w:rsidRPr="00F36EC2">
        <w:rPr>
          <w:rStyle w:val="Emphasis"/>
          <w:rFonts w:ascii="Open Sans" w:hAnsi="Open Sans" w:cs="Open Sans"/>
          <w:i w:val="0"/>
          <w:iCs w:val="0"/>
          <w:color w:val="20275C"/>
        </w:rPr>
        <w:t xml:space="preserve"> will</w:t>
      </w:r>
      <w:r w:rsidRPr="00F36EC2">
        <w:rPr>
          <w:rStyle w:val="Emphasis"/>
          <w:rFonts w:ascii="Open Sans" w:hAnsi="Open Sans" w:cs="Open Sans"/>
          <w:i w:val="0"/>
          <w:iCs w:val="0"/>
          <w:color w:val="20275C"/>
        </w:rPr>
        <w:t xml:space="preserve"> pick this up in the SaILS governance group.</w:t>
      </w:r>
    </w:p>
    <w:p w14:paraId="0F93D37D" w14:textId="69B67FF4" w:rsidR="00F36EC2" w:rsidRPr="00C3636D" w:rsidRDefault="00F36EC2" w:rsidP="00F36EC2">
      <w:pPr>
        <w:spacing w:before="120" w:after="120" w:line="240" w:lineRule="auto"/>
        <w:rPr>
          <w:rStyle w:val="Emphasis"/>
          <w:rFonts w:ascii="Open Sans" w:hAnsi="Open Sans" w:cs="Open Sans"/>
          <w:color w:val="20275C"/>
        </w:rPr>
      </w:pPr>
      <w:r w:rsidRPr="00F36EC2">
        <w:rPr>
          <w:rStyle w:val="Emphasis"/>
          <w:rFonts w:ascii="Open Sans" w:hAnsi="Open Sans" w:cs="Open Sans"/>
          <w:color w:val="20275C"/>
        </w:rPr>
        <w:t xml:space="preserve">Our H&amp;S policy is a lengthy document, would you want a shortened version for each property or would a larger one be ok? We have one for the overall service. </w:t>
      </w:r>
      <w:r w:rsidR="00C3636D">
        <w:rPr>
          <w:rStyle w:val="Emphasis"/>
          <w:rFonts w:ascii="Open Sans" w:hAnsi="Open Sans" w:cs="Open Sans"/>
          <w:color w:val="20275C"/>
        </w:rPr>
        <w:br/>
      </w:r>
      <w:r w:rsidRPr="00F36EC2">
        <w:rPr>
          <w:rStyle w:val="Emphasis"/>
          <w:rFonts w:ascii="Open Sans" w:hAnsi="Open Sans" w:cs="Open Sans"/>
          <w:i w:val="0"/>
          <w:iCs w:val="0"/>
          <w:color w:val="20275C"/>
        </w:rPr>
        <w:t>All long as it</w:t>
      </w:r>
      <w:r>
        <w:rPr>
          <w:rStyle w:val="Emphasis"/>
          <w:rFonts w:ascii="Open Sans" w:hAnsi="Open Sans" w:cs="Open Sans"/>
          <w:i w:val="0"/>
          <w:iCs w:val="0"/>
          <w:color w:val="20275C"/>
        </w:rPr>
        <w:t xml:space="preserve"> i</w:t>
      </w:r>
      <w:r w:rsidRPr="00F36EC2">
        <w:rPr>
          <w:rStyle w:val="Emphasis"/>
          <w:rFonts w:ascii="Open Sans" w:hAnsi="Open Sans" w:cs="Open Sans"/>
          <w:i w:val="0"/>
          <w:iCs w:val="0"/>
          <w:color w:val="20275C"/>
        </w:rPr>
        <w:t>s fit for purpose you don’t need to shorten it. We would want to see the overall policy and any targeted policies for Sails too. We want to see any documents you are using for staff day to day.</w:t>
      </w:r>
    </w:p>
    <w:p w14:paraId="7B49F891" w14:textId="77777777" w:rsidR="00F36EC2" w:rsidRPr="00F36EC2" w:rsidRDefault="00F36EC2" w:rsidP="00F36EC2">
      <w:pPr>
        <w:spacing w:before="120" w:after="120" w:line="240" w:lineRule="auto"/>
        <w:rPr>
          <w:rStyle w:val="Emphasis"/>
          <w:rFonts w:ascii="Open Sans" w:hAnsi="Open Sans" w:cs="Open Sans"/>
          <w:i w:val="0"/>
          <w:iCs w:val="0"/>
          <w:color w:val="20275C"/>
        </w:rPr>
      </w:pPr>
    </w:p>
    <w:p w14:paraId="26ADF97F" w14:textId="38F909A8" w:rsidR="00F36EC2" w:rsidRPr="00F36EC2" w:rsidRDefault="00F36EC2" w:rsidP="00F36EC2">
      <w:pPr>
        <w:pStyle w:val="Heading1"/>
        <w:rPr>
          <w:i/>
          <w:iCs/>
          <w:color w:val="0099A0"/>
          <w:sz w:val="28"/>
          <w:szCs w:val="28"/>
        </w:rPr>
      </w:pPr>
      <w:r w:rsidRPr="00F36EC2">
        <w:rPr>
          <w:rFonts w:ascii="Open Sans" w:hAnsi="Open Sans" w:cs="Open Sans"/>
          <w:color w:val="0099A0"/>
          <w:sz w:val="28"/>
          <w:szCs w:val="28"/>
        </w:rPr>
        <w:t>Minimum Standards</w:t>
      </w:r>
    </w:p>
    <w:p w14:paraId="2DDDE852" w14:textId="536A84D9" w:rsidR="00F36EC2" w:rsidRPr="00F36EC2" w:rsidRDefault="00F36EC2" w:rsidP="00F36EC2">
      <w:pPr>
        <w:spacing w:before="120" w:after="120" w:line="240" w:lineRule="auto"/>
        <w:rPr>
          <w:rStyle w:val="Emphasis"/>
          <w:rFonts w:ascii="Open Sans" w:hAnsi="Open Sans" w:cs="Open Sans"/>
          <w:i w:val="0"/>
          <w:iCs w:val="0"/>
          <w:color w:val="20275C"/>
        </w:rPr>
      </w:pPr>
      <w:r w:rsidRPr="00F36EC2">
        <w:rPr>
          <w:rStyle w:val="Emphasis"/>
          <w:rFonts w:ascii="Open Sans" w:hAnsi="Open Sans" w:cs="Open Sans"/>
          <w:color w:val="20275C"/>
        </w:rPr>
        <w:t>Is the tender process aligned with the minimum standards?</w:t>
      </w:r>
      <w:r w:rsidR="00C3636D">
        <w:rPr>
          <w:rStyle w:val="Emphasis"/>
          <w:rFonts w:ascii="Open Sans" w:hAnsi="Open Sans" w:cs="Open Sans"/>
          <w:color w:val="20275C"/>
        </w:rPr>
        <w:br/>
      </w:r>
      <w:r w:rsidRPr="00F36EC2">
        <w:rPr>
          <w:rStyle w:val="Emphasis"/>
          <w:rFonts w:ascii="Open Sans" w:hAnsi="Open Sans" w:cs="Open Sans"/>
          <w:i w:val="0"/>
          <w:iCs w:val="0"/>
          <w:color w:val="20275C"/>
        </w:rPr>
        <w:t>Yes,</w:t>
      </w:r>
      <w:r w:rsidRPr="00F36EC2">
        <w:rPr>
          <w:rStyle w:val="Emphasis"/>
          <w:rFonts w:ascii="Open Sans" w:hAnsi="Open Sans" w:cs="Open Sans"/>
          <w:i w:val="0"/>
          <w:iCs w:val="0"/>
          <w:color w:val="20275C"/>
        </w:rPr>
        <w:t xml:space="preserve"> they are, there are 5 key policies at point of tender and these feature within the minimum standards. The </w:t>
      </w:r>
      <w:r w:rsidRPr="00F36EC2">
        <w:rPr>
          <w:rStyle w:val="Emphasis"/>
          <w:rFonts w:ascii="Open Sans" w:hAnsi="Open Sans" w:cs="Open Sans"/>
          <w:i w:val="0"/>
          <w:iCs w:val="0"/>
          <w:color w:val="20275C"/>
        </w:rPr>
        <w:t>M</w:t>
      </w:r>
      <w:r w:rsidRPr="00F36EC2">
        <w:rPr>
          <w:rStyle w:val="Emphasis"/>
          <w:rFonts w:ascii="Open Sans" w:hAnsi="Open Sans" w:cs="Open Sans"/>
          <w:i w:val="0"/>
          <w:iCs w:val="0"/>
          <w:color w:val="20275C"/>
        </w:rPr>
        <w:t xml:space="preserve">inimum </w:t>
      </w:r>
      <w:r w:rsidRPr="00F36EC2">
        <w:rPr>
          <w:rStyle w:val="Emphasis"/>
          <w:rFonts w:ascii="Open Sans" w:hAnsi="Open Sans" w:cs="Open Sans"/>
          <w:i w:val="0"/>
          <w:iCs w:val="0"/>
          <w:color w:val="20275C"/>
        </w:rPr>
        <w:t>S</w:t>
      </w:r>
      <w:r w:rsidRPr="00F36EC2">
        <w:rPr>
          <w:rStyle w:val="Emphasis"/>
          <w:rFonts w:ascii="Open Sans" w:hAnsi="Open Sans" w:cs="Open Sans"/>
          <w:i w:val="0"/>
          <w:iCs w:val="0"/>
          <w:color w:val="20275C"/>
        </w:rPr>
        <w:t>tandards goes</w:t>
      </w:r>
      <w:r w:rsidRPr="00F36EC2">
        <w:rPr>
          <w:rStyle w:val="Emphasis"/>
          <w:rFonts w:ascii="Open Sans" w:hAnsi="Open Sans" w:cs="Open Sans"/>
          <w:i w:val="0"/>
          <w:iCs w:val="0"/>
          <w:color w:val="20275C"/>
        </w:rPr>
        <w:t xml:space="preserve"> into</w:t>
      </w:r>
      <w:r w:rsidRPr="00F36EC2">
        <w:rPr>
          <w:rStyle w:val="Emphasis"/>
          <w:rFonts w:ascii="Open Sans" w:hAnsi="Open Sans" w:cs="Open Sans"/>
          <w:i w:val="0"/>
          <w:iCs w:val="0"/>
          <w:color w:val="20275C"/>
        </w:rPr>
        <w:t xml:space="preserve"> more in depth.</w:t>
      </w:r>
    </w:p>
    <w:p w14:paraId="2CB0E139" w14:textId="02B0DCEF" w:rsidR="00F36EC2" w:rsidRPr="00F36EC2" w:rsidRDefault="00F36EC2" w:rsidP="00F36EC2">
      <w:pPr>
        <w:spacing w:before="120" w:after="120" w:line="240" w:lineRule="auto"/>
        <w:rPr>
          <w:rStyle w:val="Emphasis"/>
          <w:rFonts w:ascii="Open Sans" w:hAnsi="Open Sans" w:cs="Open Sans"/>
          <w:i w:val="0"/>
          <w:iCs w:val="0"/>
          <w:color w:val="20275C"/>
        </w:rPr>
      </w:pPr>
      <w:r w:rsidRPr="00F36EC2">
        <w:rPr>
          <w:rStyle w:val="Emphasis"/>
          <w:rFonts w:ascii="Open Sans" w:hAnsi="Open Sans" w:cs="Open Sans"/>
          <w:color w:val="20275C"/>
        </w:rPr>
        <w:t>We are a new set up, we don’t have staff yet as we want to get on the DPS first. What happens with your staff recruitment checks</w:t>
      </w:r>
      <w:r w:rsidR="00C3636D">
        <w:rPr>
          <w:rStyle w:val="Emphasis"/>
          <w:rFonts w:ascii="Open Sans" w:hAnsi="Open Sans" w:cs="Open Sans"/>
          <w:color w:val="20275C"/>
        </w:rPr>
        <w:br/>
      </w:r>
      <w:r w:rsidRPr="00F36EC2">
        <w:rPr>
          <w:rStyle w:val="Emphasis"/>
          <w:rFonts w:ascii="Open Sans" w:hAnsi="Open Sans" w:cs="Open Sans"/>
          <w:i w:val="0"/>
          <w:iCs w:val="0"/>
          <w:color w:val="20275C"/>
        </w:rPr>
        <w:t>Min</w:t>
      </w:r>
      <w:r w:rsidRPr="00F36EC2">
        <w:rPr>
          <w:rStyle w:val="Emphasis"/>
          <w:rFonts w:ascii="Open Sans" w:hAnsi="Open Sans" w:cs="Open Sans"/>
          <w:i w:val="0"/>
          <w:iCs w:val="0"/>
          <w:color w:val="20275C"/>
        </w:rPr>
        <w:t>imum</w:t>
      </w:r>
      <w:r w:rsidRPr="00F36EC2">
        <w:rPr>
          <w:rStyle w:val="Emphasis"/>
          <w:rFonts w:ascii="Open Sans" w:hAnsi="Open Sans" w:cs="Open Sans"/>
          <w:i w:val="0"/>
          <w:iCs w:val="0"/>
          <w:color w:val="20275C"/>
        </w:rPr>
        <w:t xml:space="preserve"> Standards </w:t>
      </w:r>
      <w:r w:rsidRPr="00F36EC2">
        <w:rPr>
          <w:rStyle w:val="Emphasis"/>
          <w:rFonts w:ascii="Open Sans" w:hAnsi="Open Sans" w:cs="Open Sans"/>
          <w:i w:val="0"/>
          <w:iCs w:val="0"/>
          <w:color w:val="20275C"/>
        </w:rPr>
        <w:t xml:space="preserve">are </w:t>
      </w:r>
      <w:r w:rsidRPr="00F36EC2">
        <w:rPr>
          <w:rStyle w:val="Emphasis"/>
          <w:rFonts w:ascii="Open Sans" w:hAnsi="Open Sans" w:cs="Open Sans"/>
          <w:i w:val="0"/>
          <w:iCs w:val="0"/>
          <w:color w:val="20275C"/>
        </w:rPr>
        <w:t xml:space="preserve">done after tender so you may have staff by then. If not, we need to know your intentions on safer recruitment. Present us with a dummy file, show what you would do if you had staff – provide templates or records. Same applies of you don’t </w:t>
      </w:r>
      <w:r w:rsidRPr="00F36EC2">
        <w:rPr>
          <w:rStyle w:val="Emphasis"/>
          <w:rFonts w:ascii="Open Sans" w:hAnsi="Open Sans" w:cs="Open Sans"/>
          <w:i w:val="0"/>
          <w:iCs w:val="0"/>
          <w:color w:val="20275C"/>
        </w:rPr>
        <w:t>have young people</w:t>
      </w:r>
      <w:r w:rsidRPr="00F36EC2">
        <w:rPr>
          <w:rStyle w:val="Emphasis"/>
          <w:rFonts w:ascii="Open Sans" w:hAnsi="Open Sans" w:cs="Open Sans"/>
          <w:i w:val="0"/>
          <w:iCs w:val="0"/>
          <w:color w:val="20275C"/>
        </w:rPr>
        <w:t xml:space="preserve"> in place.</w:t>
      </w:r>
    </w:p>
    <w:p w14:paraId="18BD2046" w14:textId="2B907A56" w:rsidR="00F36EC2" w:rsidRDefault="00F36EC2" w:rsidP="00F36EC2"/>
    <w:p w14:paraId="645C968C" w14:textId="24A50E06" w:rsidR="006618A6" w:rsidRPr="006618A6" w:rsidRDefault="008624F8" w:rsidP="00684F5C">
      <w:pPr>
        <w:pStyle w:val="Heading1"/>
        <w:rPr>
          <w:rFonts w:ascii="Open Sans" w:hAnsi="Open Sans" w:cs="Open Sans"/>
          <w:color w:val="0099A0"/>
          <w:sz w:val="28"/>
          <w:szCs w:val="28"/>
        </w:rPr>
      </w:pPr>
      <w:r>
        <w:rPr>
          <w:rFonts w:ascii="Open Sans" w:hAnsi="Open Sans" w:cs="Open Sans"/>
          <w:color w:val="0099A0"/>
          <w:sz w:val="28"/>
          <w:szCs w:val="28"/>
        </w:rPr>
        <w:t>Locality Risk Assessments</w:t>
      </w:r>
    </w:p>
    <w:p w14:paraId="0211DA33" w14:textId="002387F9" w:rsidR="008624F8" w:rsidRDefault="008624F8" w:rsidP="000720D8">
      <w:pPr>
        <w:spacing w:before="120" w:after="120" w:line="240" w:lineRule="auto"/>
        <w:rPr>
          <w:rStyle w:val="Emphasis"/>
          <w:rFonts w:ascii="Open Sans" w:hAnsi="Open Sans" w:cs="Open Sans"/>
          <w:i w:val="0"/>
          <w:iCs w:val="0"/>
          <w:color w:val="20275C"/>
        </w:rPr>
      </w:pPr>
      <w:r w:rsidRPr="008624F8">
        <w:rPr>
          <w:rStyle w:val="Emphasis"/>
          <w:rFonts w:ascii="Open Sans" w:hAnsi="Open Sans" w:cs="Open Sans"/>
          <w:color w:val="20275C"/>
        </w:rPr>
        <w:t>As a provider we have a good relationship with the police. What relationship do the local authority have and what are you looking for with regard to this?</w:t>
      </w:r>
      <w:r w:rsidR="00C3636D">
        <w:rPr>
          <w:rStyle w:val="Emphasis"/>
          <w:rFonts w:ascii="Open Sans" w:hAnsi="Open Sans" w:cs="Open Sans"/>
          <w:color w:val="20275C"/>
        </w:rPr>
        <w:br/>
      </w:r>
      <w:r>
        <w:rPr>
          <w:rStyle w:val="Emphasis"/>
          <w:rFonts w:ascii="Open Sans" w:hAnsi="Open Sans" w:cs="Open Sans"/>
          <w:i w:val="0"/>
          <w:iCs w:val="0"/>
          <w:color w:val="20275C"/>
        </w:rPr>
        <w:t xml:space="preserve">In Bolton the police want to know which young people are placed where so they can support where needed. We want to see honest evidence of your relationships with the police and other local stakeholders. </w:t>
      </w:r>
    </w:p>
    <w:p w14:paraId="00C790D2" w14:textId="77777777" w:rsidR="00F36EC2" w:rsidRDefault="00F36EC2" w:rsidP="000720D8">
      <w:pPr>
        <w:spacing w:before="120" w:after="120" w:line="240" w:lineRule="auto"/>
        <w:rPr>
          <w:rStyle w:val="Emphasis"/>
          <w:rFonts w:ascii="Open Sans" w:hAnsi="Open Sans" w:cs="Open Sans"/>
          <w:i w:val="0"/>
          <w:iCs w:val="0"/>
          <w:color w:val="20275C"/>
        </w:rPr>
      </w:pPr>
    </w:p>
    <w:p w14:paraId="7EDE6EFC" w14:textId="2C5DBF9C" w:rsidR="008624F8" w:rsidRPr="008624F8" w:rsidRDefault="008624F8" w:rsidP="008624F8">
      <w:pPr>
        <w:pStyle w:val="Heading1"/>
        <w:rPr>
          <w:rFonts w:ascii="Open Sans" w:hAnsi="Open Sans" w:cs="Open Sans"/>
          <w:color w:val="0099A0"/>
          <w:sz w:val="28"/>
          <w:szCs w:val="28"/>
        </w:rPr>
      </w:pPr>
      <w:r w:rsidRPr="008624F8">
        <w:rPr>
          <w:rFonts w:ascii="Open Sans" w:hAnsi="Open Sans" w:cs="Open Sans"/>
          <w:color w:val="0099A0"/>
          <w:sz w:val="28"/>
          <w:szCs w:val="28"/>
        </w:rPr>
        <w:t>Tender submissions</w:t>
      </w:r>
    </w:p>
    <w:p w14:paraId="5EFD3477" w14:textId="790470FE" w:rsidR="008624F8" w:rsidRDefault="008624F8" w:rsidP="008624F8">
      <w:pPr>
        <w:spacing w:before="120" w:after="120" w:line="240" w:lineRule="auto"/>
        <w:rPr>
          <w:rStyle w:val="Emphasis"/>
          <w:rFonts w:ascii="Open Sans" w:hAnsi="Open Sans" w:cs="Open Sans"/>
          <w:i w:val="0"/>
          <w:iCs w:val="0"/>
          <w:color w:val="20275C"/>
        </w:rPr>
      </w:pPr>
      <w:r w:rsidRPr="008624F8">
        <w:rPr>
          <w:rStyle w:val="Emphasis"/>
          <w:rFonts w:ascii="Open Sans" w:hAnsi="Open Sans" w:cs="Open Sans"/>
          <w:color w:val="20275C"/>
        </w:rPr>
        <w:t xml:space="preserve">Will the format for the tender be the same as back in January or will things have changed </w:t>
      </w:r>
      <w:r w:rsidR="00F36EC2" w:rsidRPr="008624F8">
        <w:rPr>
          <w:rStyle w:val="Emphasis"/>
          <w:rFonts w:ascii="Open Sans" w:hAnsi="Open Sans" w:cs="Open Sans"/>
          <w:color w:val="20275C"/>
        </w:rPr>
        <w:t>slightly?</w:t>
      </w:r>
      <w:r w:rsidRPr="008624F8">
        <w:rPr>
          <w:rStyle w:val="Emphasis"/>
          <w:rFonts w:ascii="Open Sans" w:hAnsi="Open Sans" w:cs="Open Sans"/>
          <w:color w:val="20275C"/>
        </w:rPr>
        <w:t xml:space="preserve"> We found it quite confusing as some of the numbering </w:t>
      </w:r>
      <w:r w:rsidR="00F36EC2" w:rsidRPr="008624F8">
        <w:rPr>
          <w:rStyle w:val="Emphasis"/>
          <w:rFonts w:ascii="Open Sans" w:hAnsi="Open Sans" w:cs="Open Sans"/>
          <w:color w:val="20275C"/>
        </w:rPr>
        <w:t>did not</w:t>
      </w:r>
      <w:r w:rsidRPr="008624F8">
        <w:rPr>
          <w:rStyle w:val="Emphasis"/>
          <w:rFonts w:ascii="Open Sans" w:hAnsi="Open Sans" w:cs="Open Sans"/>
          <w:color w:val="20275C"/>
        </w:rPr>
        <w:t xml:space="preserve"> quite match.</w:t>
      </w:r>
      <w:r w:rsidR="00C3636D">
        <w:rPr>
          <w:rStyle w:val="Emphasis"/>
          <w:rFonts w:ascii="Open Sans" w:hAnsi="Open Sans" w:cs="Open Sans"/>
          <w:color w:val="20275C"/>
        </w:rPr>
        <w:br/>
      </w:r>
      <w:r w:rsidRPr="008624F8">
        <w:rPr>
          <w:rStyle w:val="Emphasis"/>
          <w:rFonts w:ascii="Open Sans" w:hAnsi="Open Sans" w:cs="Open Sans"/>
          <w:i w:val="0"/>
          <w:iCs w:val="0"/>
          <w:color w:val="20275C"/>
        </w:rPr>
        <w:t>There are no fundamental changes</w:t>
      </w:r>
      <w:r>
        <w:rPr>
          <w:rStyle w:val="Emphasis"/>
          <w:rFonts w:ascii="Open Sans" w:hAnsi="Open Sans" w:cs="Open Sans"/>
          <w:i w:val="0"/>
          <w:iCs w:val="0"/>
          <w:color w:val="20275C"/>
        </w:rPr>
        <w:t>.</w:t>
      </w:r>
      <w:r w:rsidRPr="008624F8">
        <w:rPr>
          <w:rStyle w:val="Emphasis"/>
          <w:rFonts w:ascii="Open Sans" w:hAnsi="Open Sans" w:cs="Open Sans"/>
          <w:i w:val="0"/>
          <w:iCs w:val="0"/>
          <w:color w:val="20275C"/>
        </w:rPr>
        <w:t xml:space="preserve"> </w:t>
      </w:r>
      <w:r>
        <w:rPr>
          <w:rStyle w:val="Emphasis"/>
          <w:rFonts w:ascii="Open Sans" w:hAnsi="Open Sans" w:cs="Open Sans"/>
          <w:i w:val="0"/>
          <w:iCs w:val="0"/>
          <w:color w:val="20275C"/>
        </w:rPr>
        <w:t>W</w:t>
      </w:r>
      <w:r w:rsidRPr="008624F8">
        <w:rPr>
          <w:rStyle w:val="Emphasis"/>
          <w:rFonts w:ascii="Open Sans" w:hAnsi="Open Sans" w:cs="Open Sans"/>
          <w:i w:val="0"/>
          <w:iCs w:val="0"/>
          <w:color w:val="20275C"/>
        </w:rPr>
        <w:t>e have included guidance this time and more details to help you. We will look into the numbering.</w:t>
      </w:r>
    </w:p>
    <w:p w14:paraId="568F4222" w14:textId="6CFB5145" w:rsidR="005A2854" w:rsidRDefault="008624F8" w:rsidP="008624F8">
      <w:pPr>
        <w:spacing w:before="120" w:after="120" w:line="240" w:lineRule="auto"/>
        <w:rPr>
          <w:rStyle w:val="Emphasis"/>
          <w:rFonts w:ascii="Open Sans" w:hAnsi="Open Sans" w:cs="Open Sans"/>
          <w:i w:val="0"/>
          <w:iCs w:val="0"/>
          <w:color w:val="20275C"/>
        </w:rPr>
      </w:pPr>
      <w:r w:rsidRPr="005A2854">
        <w:rPr>
          <w:rStyle w:val="Emphasis"/>
          <w:rFonts w:ascii="Open Sans" w:hAnsi="Open Sans" w:cs="Open Sans"/>
          <w:color w:val="20275C"/>
        </w:rPr>
        <w:t xml:space="preserve">Last time clarification questions submitted over the weekend were not picked up and the deadline was 8am Monday morning. </w:t>
      </w:r>
      <w:r w:rsidR="005A2854" w:rsidRPr="005A2854">
        <w:rPr>
          <w:rStyle w:val="Emphasis"/>
          <w:rFonts w:ascii="Open Sans" w:hAnsi="Open Sans" w:cs="Open Sans"/>
          <w:color w:val="20275C"/>
        </w:rPr>
        <w:t xml:space="preserve">This means we didn’t get responses we needed. </w:t>
      </w:r>
      <w:r w:rsidR="00C3636D">
        <w:rPr>
          <w:rStyle w:val="Emphasis"/>
          <w:rFonts w:ascii="Open Sans" w:hAnsi="Open Sans" w:cs="Open Sans"/>
          <w:color w:val="20275C"/>
        </w:rPr>
        <w:br/>
      </w:r>
      <w:r w:rsidR="005A2854">
        <w:rPr>
          <w:rStyle w:val="Emphasis"/>
          <w:rFonts w:ascii="Open Sans" w:hAnsi="Open Sans" w:cs="Open Sans"/>
          <w:i w:val="0"/>
          <w:iCs w:val="0"/>
          <w:color w:val="20275C"/>
        </w:rPr>
        <w:t xml:space="preserve">We will look at the timing of the deadline for both clarifications and the tender submission. </w:t>
      </w:r>
    </w:p>
    <w:p w14:paraId="0F3342AD" w14:textId="73D505CF" w:rsidR="005A2854" w:rsidRPr="008624F8" w:rsidRDefault="005A2854" w:rsidP="008624F8">
      <w:pPr>
        <w:spacing w:before="120" w:after="120" w:line="240" w:lineRule="auto"/>
        <w:rPr>
          <w:rStyle w:val="Emphasis"/>
          <w:rFonts w:ascii="Open Sans" w:hAnsi="Open Sans" w:cs="Open Sans"/>
          <w:i w:val="0"/>
          <w:iCs w:val="0"/>
          <w:color w:val="20275C"/>
        </w:rPr>
      </w:pPr>
      <w:r w:rsidRPr="005A2854">
        <w:rPr>
          <w:rStyle w:val="Emphasis"/>
          <w:rFonts w:ascii="Open Sans" w:hAnsi="Open Sans" w:cs="Open Sans"/>
          <w:color w:val="20275C"/>
        </w:rPr>
        <w:lastRenderedPageBreak/>
        <w:t>Does everyone who meets the criteria get onto the DPS or are there further criteria?</w:t>
      </w:r>
      <w:r w:rsidR="00C3636D">
        <w:rPr>
          <w:rStyle w:val="Emphasis"/>
          <w:rFonts w:ascii="Open Sans" w:hAnsi="Open Sans" w:cs="Open Sans"/>
          <w:color w:val="20275C"/>
        </w:rPr>
        <w:br/>
      </w:r>
      <w:r>
        <w:rPr>
          <w:rStyle w:val="Emphasis"/>
          <w:rFonts w:ascii="Open Sans" w:hAnsi="Open Sans" w:cs="Open Sans"/>
          <w:i w:val="0"/>
          <w:iCs w:val="0"/>
          <w:color w:val="20275C"/>
        </w:rPr>
        <w:t xml:space="preserve">There is no limit to the number of providers who can join the DPS and we have shared all the criteria we are scoring against. All providers who meet the criteria will be accepted onto the DPS. </w:t>
      </w:r>
    </w:p>
    <w:p w14:paraId="0589CE8D" w14:textId="736E3D1F" w:rsidR="005A2854" w:rsidRDefault="005A2854" w:rsidP="000720D8">
      <w:pPr>
        <w:spacing w:before="120" w:after="120" w:line="240" w:lineRule="auto"/>
        <w:rPr>
          <w:rStyle w:val="Emphasis"/>
          <w:rFonts w:ascii="Open Sans" w:hAnsi="Open Sans" w:cs="Open Sans"/>
          <w:i w:val="0"/>
          <w:iCs w:val="0"/>
          <w:color w:val="20275C"/>
        </w:rPr>
      </w:pPr>
      <w:r w:rsidRPr="005A2854">
        <w:rPr>
          <w:rStyle w:val="Emphasis"/>
          <w:rFonts w:ascii="Open Sans" w:hAnsi="Open Sans" w:cs="Open Sans"/>
          <w:color w:val="20275C"/>
        </w:rPr>
        <w:t>Can we ensure that providers have received the outcome of their submission before further events are held?</w:t>
      </w:r>
      <w:r w:rsidR="00C3636D">
        <w:rPr>
          <w:rStyle w:val="Emphasis"/>
          <w:rFonts w:ascii="Open Sans" w:hAnsi="Open Sans" w:cs="Open Sans"/>
          <w:color w:val="20275C"/>
        </w:rPr>
        <w:br/>
      </w:r>
      <w:r>
        <w:rPr>
          <w:rStyle w:val="Emphasis"/>
          <w:rFonts w:ascii="Open Sans" w:hAnsi="Open Sans" w:cs="Open Sans"/>
          <w:i w:val="0"/>
          <w:iCs w:val="0"/>
          <w:color w:val="20275C"/>
        </w:rPr>
        <w:t xml:space="preserve">Yes, if we plan any events we will allow for this delay. </w:t>
      </w:r>
    </w:p>
    <w:p w14:paraId="7384B6B8" w14:textId="15D06616" w:rsidR="005A2854" w:rsidRDefault="005A2854" w:rsidP="000720D8">
      <w:pPr>
        <w:spacing w:before="120" w:after="120" w:line="240" w:lineRule="auto"/>
        <w:rPr>
          <w:rStyle w:val="Emphasis"/>
          <w:rFonts w:ascii="Open Sans" w:hAnsi="Open Sans" w:cs="Open Sans"/>
          <w:i w:val="0"/>
          <w:iCs w:val="0"/>
          <w:color w:val="20275C"/>
        </w:rPr>
      </w:pPr>
      <w:r w:rsidRPr="005A2854">
        <w:rPr>
          <w:rStyle w:val="Emphasis"/>
          <w:rFonts w:ascii="Open Sans" w:hAnsi="Open Sans" w:cs="Open Sans"/>
          <w:color w:val="20275C"/>
        </w:rPr>
        <w:t>If we haven’t acquired a property can we still tender for the DPS?</w:t>
      </w:r>
      <w:r w:rsidR="00C3636D">
        <w:rPr>
          <w:rStyle w:val="Emphasis"/>
          <w:rFonts w:ascii="Open Sans" w:hAnsi="Open Sans" w:cs="Open Sans"/>
          <w:color w:val="20275C"/>
        </w:rPr>
        <w:br/>
      </w:r>
      <w:r>
        <w:rPr>
          <w:rStyle w:val="Emphasis"/>
          <w:rFonts w:ascii="Open Sans" w:hAnsi="Open Sans" w:cs="Open Sans"/>
          <w:i w:val="0"/>
          <w:iCs w:val="0"/>
          <w:color w:val="20275C"/>
        </w:rPr>
        <w:t xml:space="preserve">For Lots 1 you will need to have a property at the point of tender. For Lot 2 you must be able to have a property in place six weeks from the point of tender. We will then require the Accommodation Checklist and Locality Risk Assessment for each property. </w:t>
      </w:r>
    </w:p>
    <w:p w14:paraId="56EE03BA" w14:textId="77777777" w:rsidR="00C3636D" w:rsidRDefault="005A2854" w:rsidP="00C3636D">
      <w:pPr>
        <w:rPr>
          <w:rStyle w:val="Emphasis"/>
          <w:rFonts w:ascii="Open Sans" w:hAnsi="Open Sans" w:cs="Open Sans"/>
          <w:i w:val="0"/>
          <w:iCs w:val="0"/>
          <w:color w:val="20275C"/>
        </w:rPr>
      </w:pPr>
      <w:r w:rsidRPr="005A2854">
        <w:rPr>
          <w:rStyle w:val="Emphasis"/>
          <w:rFonts w:ascii="Open Sans" w:hAnsi="Open Sans" w:cs="Open Sans"/>
          <w:i w:val="0"/>
          <w:iCs w:val="0"/>
          <w:color w:val="20275C"/>
        </w:rPr>
        <w:t>“</w:t>
      </w:r>
      <w:r w:rsidRPr="005A2854">
        <w:rPr>
          <w:rStyle w:val="Emphasis"/>
          <w:rFonts w:ascii="Open Sans" w:hAnsi="Open Sans" w:cs="Open Sans"/>
          <w:i w:val="0"/>
          <w:iCs w:val="0"/>
          <w:color w:val="20275C"/>
        </w:rPr>
        <w:t>Whilst all group living providers must have accommodation at point of tender, it is expected that providers of accommodation with floating support are able to deliver at point of tender and that any accommodation will be identified within 6 weeks. Any accommodation subsequently added is subject to the same terms and conditions within the service specification.</w:t>
      </w:r>
      <w:r w:rsidRPr="005A2854">
        <w:rPr>
          <w:rStyle w:val="Emphasis"/>
          <w:rFonts w:ascii="Open Sans" w:hAnsi="Open Sans" w:cs="Open Sans"/>
          <w:i w:val="0"/>
          <w:iCs w:val="0"/>
          <w:color w:val="20275C"/>
        </w:rPr>
        <w:t>”</w:t>
      </w:r>
    </w:p>
    <w:p w14:paraId="226FDF2A" w14:textId="3A3300CB" w:rsidR="005A2854" w:rsidRDefault="005A2854" w:rsidP="00C3636D">
      <w:pPr>
        <w:rPr>
          <w:rStyle w:val="Emphasis"/>
          <w:rFonts w:ascii="Open Sans" w:hAnsi="Open Sans" w:cs="Open Sans"/>
          <w:i w:val="0"/>
          <w:iCs w:val="0"/>
          <w:color w:val="20275C"/>
        </w:rPr>
      </w:pPr>
      <w:r w:rsidRPr="005A2854">
        <w:rPr>
          <w:rStyle w:val="Emphasis"/>
          <w:rFonts w:ascii="Open Sans" w:hAnsi="Open Sans" w:cs="Open Sans"/>
          <w:color w:val="20275C"/>
        </w:rPr>
        <w:t>When will the tender documents be available?</w:t>
      </w:r>
      <w:r w:rsidR="00C3636D">
        <w:rPr>
          <w:rStyle w:val="Emphasis"/>
          <w:rFonts w:ascii="Open Sans" w:hAnsi="Open Sans" w:cs="Open Sans"/>
          <w:color w:val="20275C"/>
        </w:rPr>
        <w:br/>
      </w:r>
      <w:r>
        <w:rPr>
          <w:rStyle w:val="Emphasis"/>
          <w:rFonts w:ascii="Open Sans" w:hAnsi="Open Sans" w:cs="Open Sans"/>
          <w:i w:val="0"/>
          <w:iCs w:val="0"/>
          <w:color w:val="20275C"/>
        </w:rPr>
        <w:t>The contract documents will be published in January when the opportunity opens.</w:t>
      </w:r>
    </w:p>
    <w:p w14:paraId="589A4EC0" w14:textId="3C0820FD"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If the criteria ask for a policy or document with a specific name but ours is called something different what happens?</w:t>
      </w:r>
      <w:r w:rsidR="00C3636D">
        <w:rPr>
          <w:rStyle w:val="Emphasis"/>
          <w:rFonts w:ascii="Open Sans" w:hAnsi="Open Sans" w:cs="Open Sans"/>
          <w:color w:val="20275C"/>
        </w:rPr>
        <w:br/>
      </w:r>
      <w:r w:rsidRPr="004E0C6E">
        <w:rPr>
          <w:rStyle w:val="Emphasis"/>
          <w:rFonts w:ascii="Open Sans" w:hAnsi="Open Sans" w:cs="Open Sans"/>
          <w:i w:val="0"/>
          <w:iCs w:val="0"/>
          <w:color w:val="20275C"/>
        </w:rPr>
        <w:t xml:space="preserve">As long as it is made clear to us that it is the equivalent or contains the same information and the body of the policy contains the information required by the checklist that is acceptable. Please make sure this is clear. </w:t>
      </w:r>
    </w:p>
    <w:p w14:paraId="2FD37844" w14:textId="0614FF5E" w:rsidR="004E0C6E"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Can new start ups be considered for the DPS?</w:t>
      </w:r>
      <w:r w:rsidR="00C3636D">
        <w:rPr>
          <w:rStyle w:val="Emphasis"/>
          <w:rFonts w:ascii="Open Sans" w:hAnsi="Open Sans" w:cs="Open Sans"/>
          <w:color w:val="20275C"/>
        </w:rPr>
        <w:br/>
      </w:r>
      <w:r w:rsidRPr="004E0C6E">
        <w:rPr>
          <w:rStyle w:val="Emphasis"/>
          <w:rFonts w:ascii="Open Sans" w:hAnsi="Open Sans" w:cs="Open Sans"/>
          <w:i w:val="0"/>
          <w:iCs w:val="0"/>
          <w:color w:val="20275C"/>
        </w:rPr>
        <w:t xml:space="preserve">Yes </w:t>
      </w:r>
    </w:p>
    <w:p w14:paraId="493D7425" w14:textId="75CE23C9" w:rsidR="00131B59" w:rsidRPr="004E0C6E" w:rsidRDefault="004E0C6E" w:rsidP="004E0C6E">
      <w:pPr>
        <w:spacing w:before="120" w:after="120" w:line="240" w:lineRule="auto"/>
        <w:rPr>
          <w:rStyle w:val="Emphasis"/>
          <w:rFonts w:ascii="Open Sans" w:hAnsi="Open Sans" w:cs="Open Sans"/>
          <w:i w:val="0"/>
          <w:iCs w:val="0"/>
          <w:color w:val="20275C"/>
        </w:rPr>
      </w:pPr>
      <w:r w:rsidRPr="004E0C6E">
        <w:rPr>
          <w:rStyle w:val="Emphasis"/>
          <w:rFonts w:ascii="Open Sans" w:hAnsi="Open Sans" w:cs="Open Sans"/>
          <w:color w:val="20275C"/>
        </w:rPr>
        <w:t>What are the financial requirements for providers?</w:t>
      </w:r>
      <w:r w:rsidR="00C3636D">
        <w:rPr>
          <w:rStyle w:val="Emphasis"/>
          <w:rFonts w:ascii="Open Sans" w:hAnsi="Open Sans" w:cs="Open Sans"/>
          <w:color w:val="20275C"/>
        </w:rPr>
        <w:br/>
      </w:r>
      <w:r w:rsidRPr="004E0C6E">
        <w:rPr>
          <w:rStyle w:val="Emphasis"/>
          <w:rFonts w:ascii="Open Sans" w:hAnsi="Open Sans" w:cs="Open Sans"/>
          <w:i w:val="0"/>
          <w:iCs w:val="0"/>
          <w:color w:val="20275C"/>
        </w:rPr>
        <w:t xml:space="preserve">There is a list of what you need as supporting evidence, accounts etc in the tender documents. If you have a </w:t>
      </w:r>
      <w:r w:rsidRPr="004E0C6E">
        <w:rPr>
          <w:rStyle w:val="Emphasis"/>
          <w:rFonts w:ascii="Open Sans" w:hAnsi="Open Sans" w:cs="Open Sans"/>
          <w:i w:val="0"/>
          <w:iCs w:val="0"/>
          <w:color w:val="20275C"/>
        </w:rPr>
        <w:t>C</w:t>
      </w:r>
      <w:r w:rsidRPr="004E0C6E">
        <w:rPr>
          <w:rStyle w:val="Emphasis"/>
          <w:rFonts w:ascii="Open Sans" w:hAnsi="Open Sans" w:cs="Open Sans"/>
          <w:i w:val="0"/>
          <w:iCs w:val="0"/>
          <w:color w:val="20275C"/>
        </w:rPr>
        <w:t xml:space="preserve">ompanies </w:t>
      </w:r>
      <w:r w:rsidRPr="004E0C6E">
        <w:rPr>
          <w:rStyle w:val="Emphasis"/>
          <w:rFonts w:ascii="Open Sans" w:hAnsi="Open Sans" w:cs="Open Sans"/>
          <w:i w:val="0"/>
          <w:iCs w:val="0"/>
          <w:color w:val="20275C"/>
        </w:rPr>
        <w:t>H</w:t>
      </w:r>
      <w:r w:rsidRPr="004E0C6E">
        <w:rPr>
          <w:rStyle w:val="Emphasis"/>
          <w:rFonts w:ascii="Open Sans" w:hAnsi="Open Sans" w:cs="Open Sans"/>
          <w:i w:val="0"/>
          <w:iCs w:val="0"/>
          <w:color w:val="20275C"/>
        </w:rPr>
        <w:t>ouse number, initial checks will be done through that first. Don’t be put off applying if you do not have financial info.</w:t>
      </w:r>
    </w:p>
    <w:p w14:paraId="6D64E2B8" w14:textId="2A15F0F5" w:rsidR="004E0C6E" w:rsidRPr="004E0C6E" w:rsidRDefault="004E0C6E" w:rsidP="004E0C6E">
      <w:pPr>
        <w:spacing w:before="120" w:after="120" w:line="240" w:lineRule="auto"/>
        <w:rPr>
          <w:rStyle w:val="Emphasis"/>
          <w:i w:val="0"/>
          <w:iCs w:val="0"/>
          <w:color w:val="20275C"/>
        </w:rPr>
      </w:pPr>
      <w:r w:rsidRPr="004E0C6E">
        <w:rPr>
          <w:rStyle w:val="Emphasis"/>
          <w:rFonts w:ascii="Open Sans" w:hAnsi="Open Sans" w:cs="Open Sans"/>
          <w:color w:val="20275C"/>
        </w:rPr>
        <w:t>Do Chest and Proactis use the same portal for tender notifications?</w:t>
      </w:r>
      <w:r w:rsidR="00C3636D">
        <w:rPr>
          <w:rStyle w:val="Emphasis"/>
          <w:rFonts w:ascii="Open Sans" w:hAnsi="Open Sans" w:cs="Open Sans"/>
          <w:color w:val="20275C"/>
        </w:rPr>
        <w:br/>
      </w:r>
      <w:r w:rsidRPr="004E0C6E">
        <w:rPr>
          <w:rStyle w:val="Emphasis"/>
          <w:rFonts w:ascii="Open Sans" w:hAnsi="Open Sans" w:cs="Open Sans"/>
          <w:i w:val="0"/>
          <w:iCs w:val="0"/>
          <w:color w:val="20275C"/>
        </w:rPr>
        <w:t xml:space="preserve">The Chest, Proactis and ProContract North are all the same portal. There are just different names depending on how it is being referred to. </w:t>
      </w:r>
    </w:p>
    <w:p w14:paraId="7145550E" w14:textId="0DB83683" w:rsidR="00646212" w:rsidRDefault="00F36EC2" w:rsidP="00C3636D">
      <w:pPr>
        <w:spacing w:before="120" w:after="120" w:line="240" w:lineRule="auto"/>
        <w:rPr>
          <w:rFonts w:ascii="Open Sans" w:hAnsi="Open Sans" w:cs="Open Sans"/>
          <w:color w:val="002060"/>
        </w:rPr>
      </w:pPr>
      <w:r w:rsidRPr="00F36EC2">
        <w:rPr>
          <w:rStyle w:val="Emphasis"/>
          <w:rFonts w:ascii="Open Sans" w:hAnsi="Open Sans" w:cs="Open Sans"/>
          <w:color w:val="20275C"/>
        </w:rPr>
        <w:t>Can we get a list of useful contacts for all of the local authority commissioners for the North West</w:t>
      </w:r>
      <w:r w:rsidR="00C3636D">
        <w:rPr>
          <w:rStyle w:val="Emphasis"/>
          <w:rFonts w:ascii="Open Sans" w:hAnsi="Open Sans" w:cs="Open Sans"/>
          <w:color w:val="20275C"/>
        </w:rPr>
        <w:t>?</w:t>
      </w:r>
      <w:r w:rsidR="00C3636D">
        <w:rPr>
          <w:rStyle w:val="Emphasis"/>
          <w:rFonts w:ascii="Open Sans" w:hAnsi="Open Sans" w:cs="Open Sans"/>
          <w:color w:val="20275C"/>
        </w:rPr>
        <w:br/>
      </w:r>
      <w:r w:rsidRPr="00F36EC2">
        <w:rPr>
          <w:rStyle w:val="Emphasis"/>
          <w:rFonts w:ascii="Open Sans" w:hAnsi="Open Sans" w:cs="Open Sans"/>
          <w:i w:val="0"/>
          <w:iCs w:val="0"/>
          <w:color w:val="20275C"/>
        </w:rPr>
        <w:t>We don’t currently circulate the details however due to high demand; this will be brought up in the commissioning managers meeting in January. We advise providers to use council website to get details.</w:t>
      </w:r>
    </w:p>
    <w:sectPr w:rsidR="00646212" w:rsidSect="00E70B9B">
      <w:headerReference w:type="default" r:id="rId11"/>
      <w:footerReference w:type="default" r:id="rId12"/>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8791" w14:textId="77777777" w:rsidR="004637DD" w:rsidRDefault="004637DD" w:rsidP="00A35009">
      <w:pPr>
        <w:spacing w:after="0" w:line="240" w:lineRule="auto"/>
      </w:pPr>
      <w:r>
        <w:separator/>
      </w:r>
    </w:p>
  </w:endnote>
  <w:endnote w:type="continuationSeparator" w:id="0">
    <w:p w14:paraId="1FBE217C" w14:textId="77777777" w:rsidR="004637DD" w:rsidRDefault="004637DD"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altName w:val="Calibri"/>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07AA2" w14:textId="77777777" w:rsidR="004637DD" w:rsidRDefault="004637DD" w:rsidP="00A35009">
      <w:pPr>
        <w:spacing w:after="0" w:line="240" w:lineRule="auto"/>
      </w:pPr>
      <w:r>
        <w:separator/>
      </w:r>
    </w:p>
  </w:footnote>
  <w:footnote w:type="continuationSeparator" w:id="0">
    <w:p w14:paraId="7F44D39D" w14:textId="77777777" w:rsidR="004637DD" w:rsidRDefault="004637DD"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E29F" w14:textId="2CF9F21F" w:rsidR="005314BC" w:rsidRDefault="00070EA9" w:rsidP="00EA4216">
    <w:pPr>
      <w:pStyle w:val="Header"/>
    </w:pPr>
    <w:r w:rsidRPr="00DF56C9">
      <w:rPr>
        <w:noProof/>
        <w:color w:val="20275C"/>
      </w:rPr>
      <w:drawing>
        <wp:anchor distT="0" distB="0" distL="114300" distR="114300" simplePos="0" relativeHeight="251659264"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70EA9"/>
    <w:rsid w:val="000720D8"/>
    <w:rsid w:val="00084551"/>
    <w:rsid w:val="000A017D"/>
    <w:rsid w:val="000E03E4"/>
    <w:rsid w:val="000E3622"/>
    <w:rsid w:val="00112EDA"/>
    <w:rsid w:val="00131B59"/>
    <w:rsid w:val="00134C71"/>
    <w:rsid w:val="00162E44"/>
    <w:rsid w:val="00181FFE"/>
    <w:rsid w:val="001A4AFB"/>
    <w:rsid w:val="001A5EBF"/>
    <w:rsid w:val="001A7B88"/>
    <w:rsid w:val="00201273"/>
    <w:rsid w:val="00207E2A"/>
    <w:rsid w:val="00211EFC"/>
    <w:rsid w:val="002311F6"/>
    <w:rsid w:val="002432C9"/>
    <w:rsid w:val="00243E93"/>
    <w:rsid w:val="002671C2"/>
    <w:rsid w:val="002B579A"/>
    <w:rsid w:val="002E2DA5"/>
    <w:rsid w:val="003B25FB"/>
    <w:rsid w:val="004305F3"/>
    <w:rsid w:val="004637DD"/>
    <w:rsid w:val="00474EA6"/>
    <w:rsid w:val="00496A6B"/>
    <w:rsid w:val="004E0C6E"/>
    <w:rsid w:val="004E13F8"/>
    <w:rsid w:val="005314BC"/>
    <w:rsid w:val="00563CC7"/>
    <w:rsid w:val="005744F7"/>
    <w:rsid w:val="005A2854"/>
    <w:rsid w:val="005F3AB4"/>
    <w:rsid w:val="00633876"/>
    <w:rsid w:val="00641ACE"/>
    <w:rsid w:val="00646212"/>
    <w:rsid w:val="00647B79"/>
    <w:rsid w:val="006618A6"/>
    <w:rsid w:val="00684F5C"/>
    <w:rsid w:val="007B66EF"/>
    <w:rsid w:val="007E3404"/>
    <w:rsid w:val="00815C1F"/>
    <w:rsid w:val="00815D14"/>
    <w:rsid w:val="00835FBA"/>
    <w:rsid w:val="0084235D"/>
    <w:rsid w:val="008624F8"/>
    <w:rsid w:val="00865F0D"/>
    <w:rsid w:val="008A4812"/>
    <w:rsid w:val="00932625"/>
    <w:rsid w:val="0093673A"/>
    <w:rsid w:val="00966E23"/>
    <w:rsid w:val="009727B3"/>
    <w:rsid w:val="009D5C01"/>
    <w:rsid w:val="009F3CF4"/>
    <w:rsid w:val="009F79E2"/>
    <w:rsid w:val="00A35009"/>
    <w:rsid w:val="00AB621E"/>
    <w:rsid w:val="00AE4B53"/>
    <w:rsid w:val="00AF17DD"/>
    <w:rsid w:val="00B152A2"/>
    <w:rsid w:val="00B330DF"/>
    <w:rsid w:val="00B61399"/>
    <w:rsid w:val="00B73954"/>
    <w:rsid w:val="00C17A2E"/>
    <w:rsid w:val="00C24FED"/>
    <w:rsid w:val="00C3636D"/>
    <w:rsid w:val="00C51702"/>
    <w:rsid w:val="00C74A04"/>
    <w:rsid w:val="00D914E9"/>
    <w:rsid w:val="00DB77CF"/>
    <w:rsid w:val="00DE73EF"/>
    <w:rsid w:val="00E30F2C"/>
    <w:rsid w:val="00E314CE"/>
    <w:rsid w:val="00E70B9B"/>
    <w:rsid w:val="00E77B6A"/>
    <w:rsid w:val="00E828AB"/>
    <w:rsid w:val="00EA4216"/>
    <w:rsid w:val="00EB1C7F"/>
    <w:rsid w:val="00F2448D"/>
    <w:rsid w:val="00F36EC2"/>
    <w:rsid w:val="00F63DC3"/>
    <w:rsid w:val="00F978FE"/>
    <w:rsid w:val="00FA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660882398">
      <w:bodyDiv w:val="1"/>
      <w:marLeft w:val="0"/>
      <w:marRight w:val="0"/>
      <w:marTop w:val="0"/>
      <w:marBottom w:val="0"/>
      <w:divBdr>
        <w:top w:val="none" w:sz="0" w:space="0" w:color="auto"/>
        <w:left w:val="none" w:sz="0" w:space="0" w:color="auto"/>
        <w:bottom w:val="none" w:sz="0" w:space="0" w:color="auto"/>
        <w:right w:val="none" w:sz="0" w:space="0" w:color="auto"/>
      </w:divBdr>
      <w:divsChild>
        <w:div w:id="60785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Lythgoe, Amy</cp:lastModifiedBy>
  <cp:revision>5</cp:revision>
  <dcterms:created xsi:type="dcterms:W3CDTF">2020-12-08T11:28:00Z</dcterms:created>
  <dcterms:modified xsi:type="dcterms:W3CDTF">2020-12-08T12:13:00Z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