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0FCA" w:rsidR="00A80FCA" w:rsidP="771621BE" w:rsidRDefault="00A80FCA" w14:paraId="5BA5E578" w14:textId="1D6E966D">
      <w:pPr>
        <w:pStyle w:val="Subtitle"/>
        <w:spacing w:after="160" w:afterAutospacing="off" w:line="257" w:lineRule="auto"/>
        <w:rPr>
          <w:rFonts w:ascii="Open Sans" w:hAnsi="Open Sans" w:cs="Open Sans"/>
          <w:b w:val="1"/>
          <w:bCs w:val="1"/>
          <w:color w:val="0099A0"/>
          <w:sz w:val="32"/>
          <w:szCs w:val="32"/>
        </w:rPr>
      </w:pPr>
      <w:bookmarkStart w:name="_Int_290Y92dj" w:id="1083101800"/>
      <w:r w:rsidRPr="5983F645" w:rsidR="680E47BD">
        <w:rPr>
          <w:rFonts w:ascii="Open Sans" w:hAnsi="Open Sans" w:cs="Open Sans"/>
          <w:b w:val="1"/>
          <w:bCs w:val="1"/>
          <w:color w:val="0099A0"/>
          <w:sz w:val="32"/>
          <w:szCs w:val="32"/>
        </w:rPr>
        <w:t xml:space="preserve">Area SEND </w:t>
      </w:r>
      <w:r w:rsidRPr="5983F645" w:rsidR="19381E41">
        <w:rPr>
          <w:rFonts w:ascii="Open Sans" w:hAnsi="Open Sans" w:cs="Open Sans"/>
          <w:b w:val="1"/>
          <w:bCs w:val="1"/>
          <w:color w:val="0099A0"/>
          <w:sz w:val="32"/>
          <w:szCs w:val="32"/>
        </w:rPr>
        <w:t>-</w:t>
      </w:r>
      <w:r w:rsidRPr="5983F645" w:rsidR="680E47BD">
        <w:rPr>
          <w:rFonts w:ascii="Open Sans" w:hAnsi="Open Sans" w:cs="Open Sans"/>
          <w:b w:val="1"/>
          <w:bCs w:val="1"/>
          <w:color w:val="0099A0"/>
          <w:sz w:val="32"/>
          <w:szCs w:val="32"/>
        </w:rPr>
        <w:t xml:space="preserve"> </w:t>
      </w:r>
      <w:r w:rsidRPr="5983F645" w:rsidR="1B8F226F">
        <w:rPr>
          <w:rFonts w:ascii="Open Sans" w:hAnsi="Open Sans" w:cs="Open Sans"/>
          <w:b w:val="1"/>
          <w:bCs w:val="1"/>
          <w:color w:val="0099A0"/>
          <w:sz w:val="32"/>
          <w:szCs w:val="32"/>
        </w:rPr>
        <w:t>R</w:t>
      </w:r>
      <w:r w:rsidRPr="5983F645" w:rsidR="680E47BD">
        <w:rPr>
          <w:rFonts w:ascii="Open Sans" w:hAnsi="Open Sans" w:cs="Open Sans"/>
          <w:b w:val="1"/>
          <w:bCs w:val="1"/>
          <w:color w:val="0099A0"/>
          <w:sz w:val="32"/>
          <w:szCs w:val="32"/>
        </w:rPr>
        <w:t>equired</w:t>
      </w:r>
      <w:r w:rsidRPr="5983F645" w:rsidR="680E47BD">
        <w:rPr>
          <w:rFonts w:ascii="Open Sans" w:hAnsi="Open Sans" w:cs="Open Sans"/>
          <w:b w:val="1"/>
          <w:bCs w:val="1"/>
          <w:color w:val="0099A0"/>
          <w:sz w:val="32"/>
          <w:szCs w:val="32"/>
        </w:rPr>
        <w:t xml:space="preserve"> information</w:t>
      </w:r>
      <w:r w:rsidRPr="5983F645" w:rsidR="09A96B4D">
        <w:rPr>
          <w:rFonts w:ascii="Open Sans" w:hAnsi="Open Sans" w:cs="Open Sans"/>
          <w:b w:val="1"/>
          <w:bCs w:val="1"/>
          <w:color w:val="0099A0"/>
          <w:sz w:val="32"/>
          <w:szCs w:val="32"/>
        </w:rPr>
        <w:t xml:space="preserve"> for </w:t>
      </w:r>
      <w:r w:rsidRPr="5983F645" w:rsidR="680E47BD">
        <w:rPr>
          <w:rFonts w:ascii="Open Sans" w:hAnsi="Open Sans" w:cs="Open Sans"/>
          <w:b w:val="1"/>
          <w:bCs w:val="1"/>
          <w:color w:val="0099A0"/>
          <w:sz w:val="32"/>
          <w:szCs w:val="32"/>
        </w:rPr>
        <w:t xml:space="preserve">Alternative Provision </w:t>
      </w:r>
      <w:bookmarkEnd w:id="1083101800"/>
    </w:p>
    <w:p w:rsidRPr="00A80FCA" w:rsidR="00A80FCA" w:rsidP="5983F645" w:rsidRDefault="00A80FCA" w14:paraId="5FC21D12" w14:textId="7F11F13F">
      <w:pPr>
        <w:spacing w:after="0" w:afterAutospacing="off" w:line="240" w:lineRule="auto"/>
        <w:rPr>
          <w:rFonts w:ascii="Open Sans" w:hAnsi="Open Sans" w:eastAsia="Open Sans" w:cs="Open Sans"/>
          <w:b w:val="0"/>
          <w:bCs w:val="0"/>
          <w:i w:val="0"/>
          <w:iCs w:val="0"/>
          <w:caps w:val="0"/>
          <w:smallCaps w:val="0"/>
          <w:noProof w:val="0"/>
          <w:color w:val="20275C"/>
          <w:sz w:val="22"/>
          <w:szCs w:val="22"/>
          <w:lang w:val="en-GB"/>
        </w:rPr>
      </w:pPr>
      <w:r w:rsidRPr="5983F645" w:rsidR="0C5B2548">
        <w:rPr>
          <w:rFonts w:ascii="Open Sans" w:hAnsi="Open Sans" w:eastAsia="Open Sans" w:cs="Open Sans"/>
          <w:b w:val="0"/>
          <w:bCs w:val="0"/>
          <w:i w:val="0"/>
          <w:iCs w:val="0"/>
          <w:caps w:val="0"/>
          <w:smallCaps w:val="0"/>
          <w:noProof w:val="0"/>
          <w:color w:val="20275C"/>
          <w:sz w:val="22"/>
          <w:szCs w:val="22"/>
          <w:lang w:val="en-GB"/>
        </w:rPr>
        <w:t xml:space="preserve">Local partnerships should have robust oversight of AP in the area. This may be in the form of maintenance of a directory of registered and unregistered alternative </w:t>
      </w:r>
      <w:r w:rsidRPr="5983F645" w:rsidR="0C5B2548">
        <w:rPr>
          <w:rFonts w:ascii="Open Sans" w:hAnsi="Open Sans" w:eastAsia="Open Sans" w:cs="Open Sans"/>
          <w:b w:val="0"/>
          <w:bCs w:val="0"/>
          <w:i w:val="0"/>
          <w:iCs w:val="0"/>
          <w:caps w:val="0"/>
          <w:smallCaps w:val="0"/>
          <w:noProof w:val="0"/>
          <w:color w:val="20275C"/>
          <w:sz w:val="22"/>
          <w:szCs w:val="22"/>
          <w:lang w:val="en-GB"/>
        </w:rPr>
        <w:t>providers, and</w:t>
      </w:r>
      <w:r w:rsidRPr="5983F645" w:rsidR="0C5B2548">
        <w:rPr>
          <w:rFonts w:ascii="Open Sans" w:hAnsi="Open Sans" w:eastAsia="Open Sans" w:cs="Open Sans"/>
          <w:b w:val="0"/>
          <w:bCs w:val="0"/>
          <w:i w:val="0"/>
          <w:iCs w:val="0"/>
          <w:caps w:val="0"/>
          <w:smallCaps w:val="0"/>
          <w:noProof w:val="0"/>
          <w:color w:val="20275C"/>
          <w:sz w:val="22"/>
          <w:szCs w:val="22"/>
          <w:lang w:val="en-GB"/>
        </w:rPr>
        <w:t xml:space="preserve"> tracking the monitoring arrangements for their safeguarding. </w:t>
      </w:r>
    </w:p>
    <w:p w:rsidRPr="00A80FCA" w:rsidR="00A80FCA" w:rsidP="5983F645" w:rsidRDefault="00A80FCA" w14:paraId="172593A9" w14:textId="640977DC">
      <w:pPr>
        <w:pStyle w:val="Normal"/>
        <w:spacing w:after="0" w:afterAutospacing="off" w:line="240" w:lineRule="auto"/>
        <w:rPr>
          <w:rFonts w:ascii="Open Sans" w:hAnsi="Open Sans" w:eastAsia="Open Sans" w:cs="Open Sans"/>
          <w:b w:val="0"/>
          <w:bCs w:val="0"/>
          <w:i w:val="0"/>
          <w:iCs w:val="0"/>
          <w:caps w:val="0"/>
          <w:smallCaps w:val="0"/>
          <w:noProof w:val="0"/>
          <w:color w:val="20275C"/>
          <w:sz w:val="22"/>
          <w:szCs w:val="22"/>
          <w:lang w:val="en-GB"/>
        </w:rPr>
      </w:pPr>
    </w:p>
    <w:p w:rsidRPr="00A80FCA" w:rsidR="00A80FCA" w:rsidP="5983F645" w:rsidRDefault="00A80FCA" w14:paraId="2412BBEB" w14:textId="746F2E84">
      <w:pPr>
        <w:pStyle w:val="Normal"/>
        <w:spacing w:after="0" w:afterAutospacing="off" w:line="240" w:lineRule="auto"/>
        <w:rPr>
          <w:rFonts w:ascii="Open Sans" w:hAnsi="Open Sans" w:eastAsia="Open Sans" w:cs="Open Sans"/>
          <w:noProof w:val="0"/>
          <w:color w:val="20275C"/>
          <w:sz w:val="22"/>
          <w:szCs w:val="22"/>
          <w:lang w:val="en-GB"/>
        </w:rPr>
      </w:pPr>
      <w:r w:rsidRPr="5983F645" w:rsidR="0C5B2548">
        <w:rPr>
          <w:rFonts w:ascii="Open Sans" w:hAnsi="Open Sans" w:eastAsia="Open Sans" w:cs="Open Sans"/>
          <w:b w:val="0"/>
          <w:bCs w:val="0"/>
          <w:i w:val="0"/>
          <w:iCs w:val="0"/>
          <w:caps w:val="0"/>
          <w:smallCaps w:val="0"/>
          <w:noProof w:val="0"/>
          <w:color w:val="20275C"/>
          <w:sz w:val="22"/>
          <w:szCs w:val="22"/>
          <w:lang w:val="en-GB"/>
        </w:rPr>
        <w:t xml:space="preserve">The evidence </w:t>
      </w:r>
      <w:r w:rsidRPr="5983F645" w:rsidR="0C5B2548">
        <w:rPr>
          <w:rFonts w:ascii="Open Sans" w:hAnsi="Open Sans" w:eastAsia="Open Sans" w:cs="Open Sans"/>
          <w:b w:val="0"/>
          <w:bCs w:val="0"/>
          <w:i w:val="0"/>
          <w:iCs w:val="0"/>
          <w:caps w:val="0"/>
          <w:smallCaps w:val="0"/>
          <w:noProof w:val="0"/>
          <w:color w:val="20275C"/>
          <w:sz w:val="22"/>
          <w:szCs w:val="22"/>
          <w:lang w:val="en-GB"/>
        </w:rPr>
        <w:t>required</w:t>
      </w:r>
      <w:r w:rsidRPr="5983F645" w:rsidR="0C5B2548">
        <w:rPr>
          <w:rFonts w:ascii="Open Sans" w:hAnsi="Open Sans" w:eastAsia="Open Sans" w:cs="Open Sans"/>
          <w:b w:val="0"/>
          <w:bCs w:val="0"/>
          <w:i w:val="0"/>
          <w:iCs w:val="0"/>
          <w:caps w:val="0"/>
          <w:smallCaps w:val="0"/>
          <w:noProof w:val="0"/>
          <w:color w:val="20275C"/>
          <w:sz w:val="22"/>
          <w:szCs w:val="22"/>
          <w:lang w:val="en-GB"/>
        </w:rPr>
        <w:t xml:space="preserve"> within Annex A of the Area SEND Inspection Framework, should be available for scrutiny and discussion with inspectors.  </w:t>
      </w:r>
      <w:r w:rsidRPr="5983F645" w:rsidR="29DED401">
        <w:rPr>
          <w:rFonts w:ascii="Open Sans" w:hAnsi="Open Sans" w:eastAsia="Open Sans" w:cs="Open Sans"/>
          <w:noProof w:val="0"/>
          <w:color w:val="20275C"/>
          <w:sz w:val="22"/>
          <w:szCs w:val="22"/>
          <w:lang w:val="en-GB"/>
        </w:rPr>
        <w:t>This document highlights the i</w:t>
      </w:r>
      <w:r w:rsidRPr="5983F645" w:rsidR="7ACCEC75">
        <w:rPr>
          <w:rFonts w:ascii="Open Sans" w:hAnsi="Open Sans" w:eastAsia="Open Sans" w:cs="Open Sans"/>
          <w:noProof w:val="0"/>
          <w:color w:val="20275C"/>
          <w:sz w:val="22"/>
          <w:szCs w:val="22"/>
          <w:lang w:val="en-GB"/>
        </w:rPr>
        <w:t>nformation</w:t>
      </w:r>
      <w:r w:rsidRPr="5983F645" w:rsidR="7CF41B77">
        <w:rPr>
          <w:rFonts w:ascii="Open Sans" w:hAnsi="Open Sans" w:eastAsia="Open Sans" w:cs="Open Sans"/>
          <w:noProof w:val="0"/>
          <w:color w:val="20275C"/>
          <w:sz w:val="22"/>
          <w:szCs w:val="22"/>
          <w:lang w:val="en-GB"/>
        </w:rPr>
        <w:t xml:space="preserve"> </w:t>
      </w:r>
      <w:r w:rsidRPr="5983F645" w:rsidR="7CF41B77">
        <w:rPr>
          <w:rFonts w:ascii="Open Sans" w:hAnsi="Open Sans" w:eastAsia="Open Sans" w:cs="Open Sans"/>
          <w:noProof w:val="0"/>
          <w:color w:val="20275C"/>
          <w:sz w:val="22"/>
          <w:szCs w:val="22"/>
          <w:lang w:val="en-GB"/>
        </w:rPr>
        <w:t>regarding</w:t>
      </w:r>
      <w:r w:rsidRPr="5983F645" w:rsidR="7CF41B77">
        <w:rPr>
          <w:rFonts w:ascii="Open Sans" w:hAnsi="Open Sans" w:eastAsia="Open Sans" w:cs="Open Sans"/>
          <w:noProof w:val="0"/>
          <w:color w:val="20275C"/>
          <w:sz w:val="22"/>
          <w:szCs w:val="22"/>
          <w:lang w:val="en-GB"/>
        </w:rPr>
        <w:t xml:space="preserve"> Alternative Provision</w:t>
      </w:r>
      <w:r w:rsidRPr="5983F645" w:rsidR="435D013F">
        <w:rPr>
          <w:rFonts w:ascii="Open Sans" w:hAnsi="Open Sans" w:eastAsia="Open Sans" w:cs="Open Sans"/>
          <w:noProof w:val="0"/>
          <w:color w:val="20275C"/>
          <w:sz w:val="22"/>
          <w:szCs w:val="22"/>
          <w:lang w:val="en-GB"/>
        </w:rPr>
        <w:t xml:space="preserve"> from Annex A,</w:t>
      </w:r>
      <w:r w:rsidRPr="5983F645" w:rsidR="7ACCEC75">
        <w:rPr>
          <w:rFonts w:ascii="Open Sans" w:hAnsi="Open Sans" w:eastAsia="Open Sans" w:cs="Open Sans"/>
          <w:noProof w:val="0"/>
          <w:color w:val="20275C"/>
          <w:sz w:val="22"/>
          <w:szCs w:val="22"/>
          <w:lang w:val="en-GB"/>
        </w:rPr>
        <w:t xml:space="preserve"> </w:t>
      </w:r>
      <w:r w:rsidRPr="5983F645" w:rsidR="2918DA8B">
        <w:rPr>
          <w:rFonts w:ascii="Open Sans" w:hAnsi="Open Sans" w:eastAsia="Open Sans" w:cs="Open Sans"/>
          <w:noProof w:val="0"/>
          <w:color w:val="20275C"/>
          <w:sz w:val="22"/>
          <w:szCs w:val="22"/>
          <w:lang w:val="en-GB"/>
        </w:rPr>
        <w:t xml:space="preserve">to </w:t>
      </w:r>
      <w:r w:rsidRPr="5983F645" w:rsidR="7ACCEC75">
        <w:rPr>
          <w:rFonts w:ascii="Open Sans" w:hAnsi="Open Sans" w:eastAsia="Open Sans" w:cs="Open Sans"/>
          <w:noProof w:val="0"/>
          <w:color w:val="20275C"/>
          <w:sz w:val="22"/>
          <w:szCs w:val="22"/>
          <w:lang w:val="en-GB"/>
        </w:rPr>
        <w:t>be provided by the local area partnership following notification</w:t>
      </w:r>
      <w:r w:rsidRPr="5983F645" w:rsidR="002BA2DF">
        <w:rPr>
          <w:rFonts w:ascii="Open Sans" w:hAnsi="Open Sans" w:eastAsia="Open Sans" w:cs="Open Sans"/>
          <w:noProof w:val="0"/>
          <w:color w:val="20275C"/>
          <w:sz w:val="22"/>
          <w:szCs w:val="22"/>
          <w:lang w:val="en-GB"/>
        </w:rPr>
        <w:t xml:space="preserve"> of inspection. </w:t>
      </w:r>
    </w:p>
    <w:p w:rsidR="5983F645" w:rsidP="5983F645" w:rsidRDefault="5983F645" w14:paraId="75962E44" w14:textId="2095368E">
      <w:pPr>
        <w:pStyle w:val="Normal"/>
        <w:spacing w:after="0" w:line="240" w:lineRule="auto"/>
        <w:rPr>
          <w:rFonts w:ascii="Open Sans" w:hAnsi="Open Sans" w:eastAsia="Open Sans" w:cs="Open Sans"/>
          <w:noProof w:val="0"/>
          <w:color w:val="20275C"/>
          <w:sz w:val="22"/>
          <w:szCs w:val="22"/>
          <w:lang w:val="en-GB"/>
        </w:rPr>
      </w:pPr>
    </w:p>
    <w:p w:rsidRPr="00A80FCA" w:rsidR="00A80FCA" w:rsidP="2F18A713" w:rsidRDefault="00A80FCA" w14:paraId="3A24E93C" w14:textId="1E84CD51">
      <w:pPr>
        <w:spacing w:after="160" w:afterAutospacing="off" w:line="257" w:lineRule="auto"/>
        <w:rPr>
          <w:rFonts w:ascii="Open Sans" w:hAnsi="Open Sans" w:eastAsia="Open Sans" w:cs="Open Sans"/>
          <w:color w:val="20275C"/>
          <w:sz w:val="22"/>
          <w:szCs w:val="22"/>
        </w:rPr>
      </w:pPr>
      <w:r w:rsidRPr="2F18A713" w:rsidR="4D368CDB">
        <w:rPr>
          <w:rFonts w:ascii="Open Sans" w:hAnsi="Open Sans" w:eastAsia="Open Sans" w:cs="Open Sans"/>
          <w:color w:val="20275C"/>
          <w:sz w:val="22"/>
          <w:szCs w:val="22"/>
        </w:rPr>
        <w:t>N.B. Inspectors will evaluate the LAs commissioning and oversight of AP for all CYP who attend, not only those with SEND.</w:t>
      </w:r>
    </w:p>
    <w:tbl>
      <w:tblPr>
        <w:tblStyle w:val="TableGrid"/>
        <w:tblW w:w="14865" w:type="dxa"/>
        <w:tblLayout w:type="fixed"/>
        <w:tblLook w:val="04A0" w:firstRow="1" w:lastRow="0" w:firstColumn="1" w:lastColumn="0" w:noHBand="0" w:noVBand="1"/>
      </w:tblPr>
      <w:tblGrid>
        <w:gridCol w:w="600"/>
        <w:gridCol w:w="2835"/>
        <w:gridCol w:w="11430"/>
      </w:tblGrid>
      <w:tr w:rsidR="2F18A713" w:rsidTr="4C627204" w14:paraId="63E00A91">
        <w:trPr>
          <w:trHeight w:val="630"/>
        </w:trPr>
        <w:tc>
          <w:tcPr>
            <w:tcW w:w="600" w:type="dxa"/>
            <w:tcBorders>
              <w:top w:val="single" w:sz="8"/>
              <w:left w:val="single" w:sz="8"/>
              <w:bottom w:val="single" w:sz="8"/>
              <w:right w:val="single" w:sz="8"/>
            </w:tcBorders>
            <w:tcMar>
              <w:left w:w="108" w:type="dxa"/>
              <w:right w:w="108" w:type="dxa"/>
            </w:tcMar>
            <w:vAlign w:val="top"/>
          </w:tcPr>
          <w:p w:rsidR="2F18A713" w:rsidP="2F18A713" w:rsidRDefault="2F18A713" w14:paraId="043B7A7C" w14:textId="72125225">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2.5</w:t>
            </w:r>
          </w:p>
        </w:tc>
        <w:tc>
          <w:tcPr>
            <w:tcW w:w="2835" w:type="dxa"/>
            <w:tcBorders>
              <w:top w:val="single" w:sz="8"/>
              <w:left w:val="single" w:sz="8"/>
              <w:bottom w:val="single" w:sz="8"/>
              <w:right w:val="single" w:sz="8"/>
            </w:tcBorders>
            <w:tcMar>
              <w:left w:w="108" w:type="dxa"/>
              <w:right w:w="108" w:type="dxa"/>
            </w:tcMar>
            <w:vAlign w:val="top"/>
          </w:tcPr>
          <w:p w:rsidR="2F18A713" w:rsidP="2F18A713" w:rsidRDefault="2F18A713" w14:paraId="4B713DBF" w14:textId="4F7AF31A">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Information about specific cohorts</w:t>
            </w:r>
          </w:p>
        </w:tc>
        <w:tc>
          <w:tcPr>
            <w:tcW w:w="11430" w:type="dxa"/>
            <w:tcBorders>
              <w:top w:val="single" w:sz="8"/>
              <w:left w:val="single" w:sz="8"/>
              <w:bottom w:val="single" w:sz="8"/>
              <w:right w:val="single" w:sz="8"/>
            </w:tcBorders>
            <w:tcMar>
              <w:left w:w="108" w:type="dxa"/>
              <w:right w:w="108" w:type="dxa"/>
            </w:tcMar>
            <w:vAlign w:val="top"/>
          </w:tcPr>
          <w:p w:rsidR="2F18A713" w:rsidP="2F18A713" w:rsidRDefault="2F18A713" w14:paraId="3D4281A4" w14:textId="003AF131">
            <w:pPr>
              <w:spacing w:after="160" w:afterAutospacing="off" w:line="257" w:lineRule="auto"/>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 xml:space="preserve">The numbers of children and young people with SEND who are attending Alternative Provision. </w:t>
            </w:r>
          </w:p>
        </w:tc>
      </w:tr>
      <w:tr w:rsidR="2F18A713" w:rsidTr="4C627204" w14:paraId="7CA5C368">
        <w:trPr>
          <w:trHeight w:val="300"/>
        </w:trPr>
        <w:tc>
          <w:tcPr>
            <w:tcW w:w="600" w:type="dxa"/>
            <w:tcBorders>
              <w:top w:val="single" w:sz="8"/>
              <w:left w:val="single" w:sz="8"/>
              <w:bottom w:val="single" w:sz="8"/>
              <w:right w:val="single" w:sz="8"/>
            </w:tcBorders>
            <w:tcMar>
              <w:left w:w="108" w:type="dxa"/>
              <w:right w:w="108" w:type="dxa"/>
            </w:tcMar>
            <w:vAlign w:val="top"/>
          </w:tcPr>
          <w:p w:rsidR="2F18A713" w:rsidP="2F18A713" w:rsidRDefault="2F18A713" w14:paraId="2382DD07" w14:textId="6B6209C9">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2.6</w:t>
            </w:r>
          </w:p>
        </w:tc>
        <w:tc>
          <w:tcPr>
            <w:tcW w:w="2835" w:type="dxa"/>
            <w:tcBorders>
              <w:top w:val="single" w:sz="8"/>
              <w:left w:val="single" w:sz="8"/>
              <w:bottom w:val="single" w:sz="8"/>
              <w:right w:val="single" w:sz="8"/>
            </w:tcBorders>
            <w:tcMar>
              <w:left w:w="108" w:type="dxa"/>
              <w:right w:w="108" w:type="dxa"/>
            </w:tcMar>
            <w:vAlign w:val="top"/>
          </w:tcPr>
          <w:p w:rsidR="2F18A713" w:rsidP="2F18A713" w:rsidRDefault="2F18A713" w14:paraId="54F9CFBB" w14:textId="0F2861D8">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Outcomes</w:t>
            </w:r>
          </w:p>
        </w:tc>
        <w:tc>
          <w:tcPr>
            <w:tcW w:w="11430" w:type="dxa"/>
            <w:tcBorders>
              <w:top w:val="single" w:sz="8"/>
              <w:left w:val="single" w:sz="8"/>
              <w:bottom w:val="single" w:sz="8"/>
              <w:right w:val="single" w:sz="8"/>
            </w:tcBorders>
            <w:tcMar>
              <w:left w:w="108" w:type="dxa"/>
              <w:right w:w="108" w:type="dxa"/>
            </w:tcMar>
            <w:vAlign w:val="top"/>
          </w:tcPr>
          <w:p w:rsidR="2F18A713" w:rsidP="2F18A713" w:rsidRDefault="2F18A713" w14:paraId="629862F6" w14:textId="7386826A">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 xml:space="preserve">Information on the local area partnership’s measures of outcomes for children and young people in their area, including outcomes relating to their preparation for adulthood. This may include pupils attending AP. </w:t>
            </w:r>
          </w:p>
        </w:tc>
      </w:tr>
      <w:tr w:rsidR="2F18A713" w:rsidTr="4C627204" w14:paraId="486936AE">
        <w:trPr>
          <w:trHeight w:val="300"/>
        </w:trPr>
        <w:tc>
          <w:tcPr>
            <w:tcW w:w="600" w:type="dxa"/>
            <w:tcBorders>
              <w:top w:val="single" w:sz="8"/>
              <w:left w:val="single" w:sz="8"/>
              <w:bottom w:val="single" w:sz="8"/>
              <w:right w:val="single" w:sz="8"/>
            </w:tcBorders>
            <w:tcMar>
              <w:left w:w="108" w:type="dxa"/>
              <w:right w:w="108" w:type="dxa"/>
            </w:tcMar>
            <w:vAlign w:val="top"/>
          </w:tcPr>
          <w:p w:rsidR="2F18A713" w:rsidP="2F18A713" w:rsidRDefault="2F18A713" w14:paraId="314A42F1" w14:textId="3B7F18EF">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3.1</w:t>
            </w:r>
          </w:p>
        </w:tc>
        <w:tc>
          <w:tcPr>
            <w:tcW w:w="2835" w:type="dxa"/>
            <w:tcBorders>
              <w:top w:val="single" w:sz="8"/>
              <w:left w:val="single" w:sz="8"/>
              <w:bottom w:val="single" w:sz="8"/>
              <w:right w:val="single" w:sz="8"/>
            </w:tcBorders>
            <w:tcMar>
              <w:left w:w="108" w:type="dxa"/>
              <w:right w:w="108" w:type="dxa"/>
            </w:tcMar>
            <w:vAlign w:val="top"/>
          </w:tcPr>
          <w:p w:rsidR="2F18A713" w:rsidP="2F18A713" w:rsidRDefault="2F18A713" w14:paraId="512DE1CC" w14:textId="1D6B3D9B">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Educations system overview</w:t>
            </w:r>
          </w:p>
        </w:tc>
        <w:tc>
          <w:tcPr>
            <w:tcW w:w="11430" w:type="dxa"/>
            <w:tcBorders>
              <w:top w:val="single" w:sz="8"/>
              <w:left w:val="single" w:sz="8"/>
              <w:bottom w:val="single" w:sz="8"/>
              <w:right w:val="single" w:sz="8"/>
            </w:tcBorders>
            <w:tcMar>
              <w:left w:w="108" w:type="dxa"/>
              <w:right w:w="108" w:type="dxa"/>
            </w:tcMar>
            <w:vAlign w:val="top"/>
          </w:tcPr>
          <w:p w:rsidR="2F18A713" w:rsidP="2F18A713" w:rsidRDefault="2F18A713" w14:paraId="6A4D54CF" w14:textId="63C8F1DD">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The structure of the local education system, including the types of education setting, and which settings have specialist provision available</w:t>
            </w:r>
            <w:r w:rsidRPr="2F18A713" w:rsidR="7F3C76B0">
              <w:rPr>
                <w:rFonts w:ascii="Open Sans" w:hAnsi="Open Sans" w:eastAsia="Open Sans" w:cs="Open Sans"/>
                <w:color w:val="20275C"/>
                <w:sz w:val="22"/>
                <w:szCs w:val="22"/>
              </w:rPr>
              <w:t>.</w:t>
            </w:r>
          </w:p>
        </w:tc>
      </w:tr>
      <w:tr w:rsidR="2F18A713" w:rsidTr="4C627204" w14:paraId="4F086DF7">
        <w:trPr>
          <w:trHeight w:val="300"/>
        </w:trPr>
        <w:tc>
          <w:tcPr>
            <w:tcW w:w="600" w:type="dxa"/>
            <w:tcBorders>
              <w:top w:val="single" w:sz="8"/>
              <w:left w:val="single" w:sz="8"/>
              <w:bottom w:val="single" w:sz="8"/>
              <w:right w:val="single" w:sz="8"/>
            </w:tcBorders>
            <w:tcMar>
              <w:left w:w="108" w:type="dxa"/>
              <w:right w:w="108" w:type="dxa"/>
            </w:tcMar>
            <w:vAlign w:val="top"/>
          </w:tcPr>
          <w:p w:rsidR="2F18A713" w:rsidP="2F18A713" w:rsidRDefault="2F18A713" w14:paraId="78BDC3AC" w14:textId="388A8E97">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3.3</w:t>
            </w:r>
          </w:p>
        </w:tc>
        <w:tc>
          <w:tcPr>
            <w:tcW w:w="2835" w:type="dxa"/>
            <w:tcBorders>
              <w:top w:val="single" w:sz="8"/>
              <w:left w:val="single" w:sz="8"/>
              <w:bottom w:val="single" w:sz="8"/>
              <w:right w:val="single" w:sz="8"/>
            </w:tcBorders>
            <w:tcMar>
              <w:left w:w="108" w:type="dxa"/>
              <w:right w:w="108" w:type="dxa"/>
            </w:tcMar>
            <w:vAlign w:val="top"/>
          </w:tcPr>
          <w:p w:rsidR="2F18A713" w:rsidP="2F18A713" w:rsidRDefault="2F18A713" w14:paraId="1E8E7E90" w14:textId="49E7B841">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Out of-area placements</w:t>
            </w:r>
          </w:p>
        </w:tc>
        <w:tc>
          <w:tcPr>
            <w:tcW w:w="11430" w:type="dxa"/>
            <w:tcBorders>
              <w:top w:val="single" w:sz="8"/>
              <w:left w:val="single" w:sz="8"/>
              <w:bottom w:val="single" w:sz="8"/>
              <w:right w:val="single" w:sz="8"/>
            </w:tcBorders>
            <w:tcMar>
              <w:left w:w="108" w:type="dxa"/>
              <w:right w:w="108" w:type="dxa"/>
            </w:tcMar>
            <w:vAlign w:val="top"/>
          </w:tcPr>
          <w:p w:rsidR="2F18A713" w:rsidP="2F18A713" w:rsidRDefault="2F18A713" w14:paraId="5C2CE769" w14:textId="550AA6F4">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Information about the commissioning and oversight of education settings outside the local area that provide education for the area’s children and young people with EHC plans; data on the number of children and young people with SEND who are placed out of area, and the reasons for this</w:t>
            </w:r>
            <w:r w:rsidRPr="2F18A713" w:rsidR="6F326E03">
              <w:rPr>
                <w:rFonts w:ascii="Open Sans" w:hAnsi="Open Sans" w:eastAsia="Open Sans" w:cs="Open Sans"/>
                <w:color w:val="20275C"/>
                <w:sz w:val="22"/>
                <w:szCs w:val="22"/>
              </w:rPr>
              <w:t>.</w:t>
            </w:r>
          </w:p>
        </w:tc>
      </w:tr>
      <w:tr w:rsidR="2F18A713" w:rsidTr="4C627204" w14:paraId="251FF945">
        <w:trPr>
          <w:trHeight w:val="300"/>
        </w:trPr>
        <w:tc>
          <w:tcPr>
            <w:tcW w:w="600" w:type="dxa"/>
            <w:tcBorders>
              <w:top w:val="single" w:sz="8"/>
              <w:left w:val="single" w:sz="8"/>
              <w:bottom w:val="single" w:sz="8"/>
              <w:right w:val="single" w:sz="8"/>
            </w:tcBorders>
            <w:tcMar>
              <w:left w:w="108" w:type="dxa"/>
              <w:right w:w="108" w:type="dxa"/>
            </w:tcMar>
            <w:vAlign w:val="top"/>
          </w:tcPr>
          <w:p w:rsidR="2F18A713" w:rsidP="2F18A713" w:rsidRDefault="2F18A713" w14:paraId="6322852D" w14:textId="36BDE377">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3.4</w:t>
            </w:r>
          </w:p>
        </w:tc>
        <w:tc>
          <w:tcPr>
            <w:tcW w:w="2835" w:type="dxa"/>
            <w:tcBorders>
              <w:top w:val="single" w:sz="8"/>
              <w:left w:val="single" w:sz="8"/>
              <w:bottom w:val="single" w:sz="8"/>
              <w:right w:val="single" w:sz="8"/>
            </w:tcBorders>
            <w:tcMar>
              <w:left w:w="108" w:type="dxa"/>
              <w:right w:w="108" w:type="dxa"/>
            </w:tcMar>
            <w:vAlign w:val="top"/>
          </w:tcPr>
          <w:p w:rsidR="2F18A713" w:rsidP="2F18A713" w:rsidRDefault="2F18A713" w14:paraId="56829B27" w14:textId="39CD7AA3">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Destinations</w:t>
            </w:r>
          </w:p>
        </w:tc>
        <w:tc>
          <w:tcPr>
            <w:tcW w:w="11430" w:type="dxa"/>
            <w:tcBorders>
              <w:top w:val="single" w:sz="8"/>
              <w:left w:val="single" w:sz="8"/>
              <w:bottom w:val="single" w:sz="8"/>
              <w:right w:val="single" w:sz="8"/>
            </w:tcBorders>
            <w:tcMar>
              <w:left w:w="108" w:type="dxa"/>
              <w:right w:w="108" w:type="dxa"/>
            </w:tcMar>
            <w:vAlign w:val="top"/>
          </w:tcPr>
          <w:p w:rsidR="2F18A713" w:rsidP="2F18A713" w:rsidRDefault="2F18A713" w14:paraId="53C8C1E9" w14:textId="7CDC68F7">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 xml:space="preserve">Data about destinations after leaving school, including data about young people not in education, </w:t>
            </w:r>
            <w:r w:rsidRPr="2F18A713" w:rsidR="2F18A713">
              <w:rPr>
                <w:rFonts w:ascii="Open Sans" w:hAnsi="Open Sans" w:eastAsia="Open Sans" w:cs="Open Sans"/>
                <w:color w:val="20275C"/>
                <w:sz w:val="22"/>
                <w:szCs w:val="22"/>
              </w:rPr>
              <w:t>employment</w:t>
            </w:r>
            <w:r w:rsidRPr="2F18A713" w:rsidR="2F18A713">
              <w:rPr>
                <w:rFonts w:ascii="Open Sans" w:hAnsi="Open Sans" w:eastAsia="Open Sans" w:cs="Open Sans"/>
                <w:color w:val="20275C"/>
                <w:sz w:val="22"/>
                <w:szCs w:val="22"/>
              </w:rPr>
              <w:t xml:space="preserve"> and training</w:t>
            </w:r>
            <w:r w:rsidRPr="2F18A713" w:rsidR="29CCC6CF">
              <w:rPr>
                <w:rFonts w:ascii="Open Sans" w:hAnsi="Open Sans" w:eastAsia="Open Sans" w:cs="Open Sans"/>
                <w:color w:val="20275C"/>
                <w:sz w:val="22"/>
                <w:szCs w:val="22"/>
              </w:rPr>
              <w:t>.</w:t>
            </w:r>
          </w:p>
        </w:tc>
      </w:tr>
      <w:tr w:rsidR="2F18A713" w:rsidTr="4C627204" w14:paraId="6737B11A">
        <w:trPr>
          <w:trHeight w:val="300"/>
        </w:trPr>
        <w:tc>
          <w:tcPr>
            <w:tcW w:w="600" w:type="dxa"/>
            <w:tcBorders>
              <w:top w:val="single" w:sz="8"/>
              <w:left w:val="single" w:sz="8"/>
              <w:bottom w:val="single" w:sz="8"/>
              <w:right w:val="single" w:sz="8"/>
            </w:tcBorders>
            <w:tcMar>
              <w:left w:w="108" w:type="dxa"/>
              <w:right w:w="108" w:type="dxa"/>
            </w:tcMar>
            <w:vAlign w:val="top"/>
          </w:tcPr>
          <w:p w:rsidR="2F18A713" w:rsidP="2F18A713" w:rsidRDefault="2F18A713" w14:paraId="71036D48" w14:textId="056358CB">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3.5</w:t>
            </w:r>
          </w:p>
        </w:tc>
        <w:tc>
          <w:tcPr>
            <w:tcW w:w="2835" w:type="dxa"/>
            <w:tcBorders>
              <w:top w:val="single" w:sz="8"/>
              <w:left w:val="single" w:sz="8"/>
              <w:bottom w:val="single" w:sz="8"/>
              <w:right w:val="single" w:sz="8"/>
            </w:tcBorders>
            <w:tcMar>
              <w:left w:w="108" w:type="dxa"/>
              <w:right w:w="108" w:type="dxa"/>
            </w:tcMar>
            <w:vAlign w:val="top"/>
          </w:tcPr>
          <w:p w:rsidR="2F18A713" w:rsidP="2F18A713" w:rsidRDefault="2F18A713" w14:paraId="5B7BD16E" w14:textId="59794A59">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Part-time education timetables</w:t>
            </w:r>
          </w:p>
        </w:tc>
        <w:tc>
          <w:tcPr>
            <w:tcW w:w="11430" w:type="dxa"/>
            <w:tcBorders>
              <w:top w:val="single" w:sz="8"/>
              <w:left w:val="single" w:sz="8"/>
              <w:bottom w:val="single" w:sz="8"/>
              <w:right w:val="single" w:sz="8"/>
            </w:tcBorders>
            <w:tcMar>
              <w:left w:w="108" w:type="dxa"/>
              <w:right w:w="108" w:type="dxa"/>
            </w:tcMar>
            <w:vAlign w:val="top"/>
          </w:tcPr>
          <w:p w:rsidR="2F18A713" w:rsidP="2F18A713" w:rsidRDefault="2F18A713" w14:paraId="208E9715" w14:textId="46677884">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Data about children and young people who have EHC plans, or are in alternative provision on part-time timetables; to include the numbers of children and the timescales</w:t>
            </w:r>
            <w:r w:rsidRPr="2F18A713" w:rsidR="63FA10A7">
              <w:rPr>
                <w:rFonts w:ascii="Open Sans" w:hAnsi="Open Sans" w:eastAsia="Open Sans" w:cs="Open Sans"/>
                <w:color w:val="20275C"/>
                <w:sz w:val="22"/>
                <w:szCs w:val="22"/>
              </w:rPr>
              <w:t>.</w:t>
            </w:r>
          </w:p>
        </w:tc>
      </w:tr>
      <w:tr w:rsidR="2F18A713" w:rsidTr="4C627204" w14:paraId="185ADAB5">
        <w:trPr>
          <w:trHeight w:val="300"/>
        </w:trPr>
        <w:tc>
          <w:tcPr>
            <w:tcW w:w="600" w:type="dxa"/>
            <w:tcBorders>
              <w:top w:val="single" w:sz="8"/>
              <w:left w:val="single" w:sz="8"/>
              <w:bottom w:val="single" w:sz="8"/>
              <w:right w:val="single" w:sz="8"/>
            </w:tcBorders>
            <w:tcMar>
              <w:left w:w="108" w:type="dxa"/>
              <w:right w:w="108" w:type="dxa"/>
            </w:tcMar>
            <w:vAlign w:val="top"/>
          </w:tcPr>
          <w:p w:rsidR="2F18A713" w:rsidP="2F18A713" w:rsidRDefault="2F18A713" w14:paraId="78A3D8B5" w14:textId="1C440D9E">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3.7</w:t>
            </w:r>
          </w:p>
        </w:tc>
        <w:tc>
          <w:tcPr>
            <w:tcW w:w="2835" w:type="dxa"/>
            <w:tcBorders>
              <w:top w:val="single" w:sz="8"/>
              <w:left w:val="single" w:sz="8"/>
              <w:bottom w:val="single" w:sz="8"/>
              <w:right w:val="single" w:sz="8"/>
            </w:tcBorders>
            <w:tcMar>
              <w:left w:w="108" w:type="dxa"/>
              <w:right w:w="108" w:type="dxa"/>
            </w:tcMar>
            <w:vAlign w:val="top"/>
          </w:tcPr>
          <w:p w:rsidR="2F18A713" w:rsidP="2F18A713" w:rsidRDefault="2F18A713" w14:paraId="5102637B" w14:textId="7F69230D">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Attendance</w:t>
            </w:r>
          </w:p>
        </w:tc>
        <w:tc>
          <w:tcPr>
            <w:tcW w:w="11430" w:type="dxa"/>
            <w:tcBorders>
              <w:top w:val="single" w:sz="8"/>
              <w:left w:val="single" w:sz="8"/>
              <w:bottom w:val="single" w:sz="8"/>
              <w:right w:val="single" w:sz="8"/>
            </w:tcBorders>
            <w:tcMar>
              <w:left w:w="108" w:type="dxa"/>
              <w:right w:w="108" w:type="dxa"/>
            </w:tcMar>
            <w:vAlign w:val="top"/>
          </w:tcPr>
          <w:p w:rsidR="2F18A713" w:rsidP="2F18A713" w:rsidRDefault="2F18A713" w14:paraId="09A966C4" w14:textId="28586A03">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The most recent evaluation of attendance of children and young people with SEND in the local area</w:t>
            </w:r>
            <w:r w:rsidRPr="2F18A713" w:rsidR="63FA10A7">
              <w:rPr>
                <w:rFonts w:ascii="Open Sans" w:hAnsi="Open Sans" w:eastAsia="Open Sans" w:cs="Open Sans"/>
                <w:color w:val="20275C"/>
                <w:sz w:val="22"/>
                <w:szCs w:val="22"/>
              </w:rPr>
              <w:t>.</w:t>
            </w:r>
          </w:p>
        </w:tc>
      </w:tr>
      <w:tr w:rsidR="2F18A713" w:rsidTr="4C627204" w14:paraId="3E110B83">
        <w:trPr>
          <w:trHeight w:val="300"/>
        </w:trPr>
        <w:tc>
          <w:tcPr>
            <w:tcW w:w="60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74724334" w14:textId="50214379">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6.1</w:t>
            </w:r>
          </w:p>
        </w:tc>
        <w:tc>
          <w:tcPr>
            <w:tcW w:w="283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38647A13" w14:textId="622858C0">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Strategy and commissioning arrangements</w:t>
            </w:r>
          </w:p>
        </w:tc>
        <w:tc>
          <w:tcPr>
            <w:tcW w:w="1143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08E55FD2" w14:textId="214C3C09">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Information about the local authority’s strategy and commissioning arrangements for alternative provision</w:t>
            </w:r>
            <w:r w:rsidRPr="2F18A713" w:rsidR="73D2C5D1">
              <w:rPr>
                <w:rFonts w:ascii="Open Sans" w:hAnsi="Open Sans" w:eastAsia="Open Sans" w:cs="Open Sans"/>
                <w:color w:val="20275C"/>
                <w:sz w:val="22"/>
                <w:szCs w:val="22"/>
              </w:rPr>
              <w:t>.</w:t>
            </w:r>
          </w:p>
        </w:tc>
      </w:tr>
      <w:tr w:rsidR="2F18A713" w:rsidTr="4C627204" w14:paraId="22EA8809">
        <w:trPr>
          <w:trHeight w:val="300"/>
        </w:trPr>
        <w:tc>
          <w:tcPr>
            <w:tcW w:w="60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62FB2DA9" w14:textId="7FAD5B5C">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6.2</w:t>
            </w:r>
          </w:p>
        </w:tc>
        <w:tc>
          <w:tcPr>
            <w:tcW w:w="283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7F1D49F2" w14:textId="497F3DAA">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Needs of children and young people</w:t>
            </w:r>
          </w:p>
        </w:tc>
        <w:tc>
          <w:tcPr>
            <w:tcW w:w="1143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035D478C" w14:textId="0F5E9079">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 xml:space="preserve">Information about the needs of the children and young people in the area who are in alternative provision; information about how the local authority </w:t>
            </w:r>
            <w:r w:rsidRPr="2F18A713" w:rsidR="2F18A713">
              <w:rPr>
                <w:rFonts w:ascii="Open Sans" w:hAnsi="Open Sans" w:eastAsia="Open Sans" w:cs="Open Sans"/>
                <w:color w:val="20275C"/>
                <w:sz w:val="22"/>
                <w:szCs w:val="22"/>
              </w:rPr>
              <w:t>monitors</w:t>
            </w:r>
            <w:r w:rsidRPr="2F18A713" w:rsidR="2F18A713">
              <w:rPr>
                <w:rFonts w:ascii="Open Sans" w:hAnsi="Open Sans" w:eastAsia="Open Sans" w:cs="Open Sans"/>
                <w:color w:val="20275C"/>
                <w:sz w:val="22"/>
                <w:szCs w:val="22"/>
              </w:rPr>
              <w:t xml:space="preserve"> </w:t>
            </w:r>
            <w:r w:rsidRPr="2F18A713" w:rsidR="2F18A713">
              <w:rPr>
                <w:rFonts w:ascii="Open Sans" w:hAnsi="Open Sans" w:eastAsia="Open Sans" w:cs="Open Sans"/>
                <w:color w:val="20275C"/>
                <w:sz w:val="22"/>
                <w:szCs w:val="22"/>
              </w:rPr>
              <w:t>likely future</w:t>
            </w:r>
            <w:r w:rsidRPr="2F18A713" w:rsidR="2F18A713">
              <w:rPr>
                <w:rFonts w:ascii="Open Sans" w:hAnsi="Open Sans" w:eastAsia="Open Sans" w:cs="Open Sans"/>
                <w:color w:val="20275C"/>
                <w:sz w:val="22"/>
                <w:szCs w:val="22"/>
              </w:rPr>
              <w:t xml:space="preserve"> need for placements, and </w:t>
            </w:r>
            <w:r w:rsidRPr="2F18A713" w:rsidR="2F18A713">
              <w:rPr>
                <w:rFonts w:ascii="Open Sans" w:hAnsi="Open Sans" w:eastAsia="Open Sans" w:cs="Open Sans"/>
                <w:color w:val="20275C"/>
                <w:sz w:val="22"/>
                <w:szCs w:val="22"/>
              </w:rPr>
              <w:t>maintains</w:t>
            </w:r>
            <w:r w:rsidRPr="2F18A713" w:rsidR="2F18A713">
              <w:rPr>
                <w:rFonts w:ascii="Open Sans" w:hAnsi="Open Sans" w:eastAsia="Open Sans" w:cs="Open Sans"/>
                <w:color w:val="20275C"/>
                <w:sz w:val="22"/>
                <w:szCs w:val="22"/>
              </w:rPr>
              <w:t xml:space="preserve"> sufficient provision</w:t>
            </w:r>
            <w:r w:rsidRPr="2F18A713" w:rsidR="18BCA723">
              <w:rPr>
                <w:rFonts w:ascii="Open Sans" w:hAnsi="Open Sans" w:eastAsia="Open Sans" w:cs="Open Sans"/>
                <w:color w:val="20275C"/>
                <w:sz w:val="22"/>
                <w:szCs w:val="22"/>
              </w:rPr>
              <w:t>.</w:t>
            </w:r>
          </w:p>
        </w:tc>
      </w:tr>
      <w:tr w:rsidR="2F18A713" w:rsidTr="4C627204" w14:paraId="7F2FF6C7">
        <w:trPr>
          <w:trHeight w:val="300"/>
        </w:trPr>
        <w:tc>
          <w:tcPr>
            <w:tcW w:w="60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0E0C11F6" w14:textId="5EE2727B">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6.3</w:t>
            </w:r>
          </w:p>
        </w:tc>
        <w:tc>
          <w:tcPr>
            <w:tcW w:w="283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2796F016" w14:textId="53788309">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Settings and attendees</w:t>
            </w:r>
          </w:p>
        </w:tc>
        <w:tc>
          <w:tcPr>
            <w:tcW w:w="1143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6800ECB0" w14:textId="4284ABEE">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Information about the alternative provision settings used by the local authority and the children or young people attending, including where these are part-time placements; this should include a record of all individual intervention plans for children and young people</w:t>
            </w:r>
            <w:r w:rsidRPr="2F18A713" w:rsidR="41EC7105">
              <w:rPr>
                <w:rFonts w:ascii="Open Sans" w:hAnsi="Open Sans" w:eastAsia="Open Sans" w:cs="Open Sans"/>
                <w:color w:val="20275C"/>
                <w:sz w:val="22"/>
                <w:szCs w:val="22"/>
              </w:rPr>
              <w:t>.</w:t>
            </w:r>
          </w:p>
        </w:tc>
      </w:tr>
      <w:tr w:rsidR="2F18A713" w:rsidTr="4C627204" w14:paraId="4F619325">
        <w:trPr>
          <w:trHeight w:val="300"/>
        </w:trPr>
        <w:tc>
          <w:tcPr>
            <w:tcW w:w="60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1CC1F42F" w14:textId="55C9DF90">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6.4</w:t>
            </w:r>
          </w:p>
        </w:tc>
        <w:tc>
          <w:tcPr>
            <w:tcW w:w="283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3BA650E4" w14:textId="0CADF2F7">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Monitoring and oversight information</w:t>
            </w:r>
          </w:p>
        </w:tc>
        <w:tc>
          <w:tcPr>
            <w:tcW w:w="1143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2F18A713" w:rsidP="2F18A713" w:rsidRDefault="2F18A713" w14:paraId="36980E65" w14:textId="1B50CBE4">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 xml:space="preserve">The most </w:t>
            </w:r>
            <w:r w:rsidRPr="2F18A713" w:rsidR="2F18A713">
              <w:rPr>
                <w:rFonts w:ascii="Open Sans" w:hAnsi="Open Sans" w:eastAsia="Open Sans" w:cs="Open Sans"/>
                <w:color w:val="20275C"/>
                <w:sz w:val="22"/>
                <w:szCs w:val="22"/>
              </w:rPr>
              <w:t>recent information</w:t>
            </w:r>
            <w:r w:rsidRPr="2F18A713" w:rsidR="2F18A713">
              <w:rPr>
                <w:rFonts w:ascii="Open Sans" w:hAnsi="Open Sans" w:eastAsia="Open Sans" w:cs="Open Sans"/>
                <w:color w:val="20275C"/>
                <w:sz w:val="22"/>
                <w:szCs w:val="22"/>
              </w:rPr>
              <w:t xml:space="preserve"> about the quality and performance of alternative provision settings, including outcomes for children and young people, such as destinations following alternative provision; information on how the local authority quality assures alternative provision, including relevant frameworks</w:t>
            </w:r>
            <w:r w:rsidRPr="2F18A713" w:rsidR="4A7C425A">
              <w:rPr>
                <w:rFonts w:ascii="Open Sans" w:hAnsi="Open Sans" w:eastAsia="Open Sans" w:cs="Open Sans"/>
                <w:color w:val="20275C"/>
                <w:sz w:val="22"/>
                <w:szCs w:val="22"/>
              </w:rPr>
              <w:t>.</w:t>
            </w:r>
          </w:p>
        </w:tc>
      </w:tr>
      <w:tr w:rsidR="2F18A713" w:rsidTr="4C627204" w14:paraId="3E31A21D">
        <w:trPr>
          <w:trHeight w:val="300"/>
        </w:trPr>
        <w:tc>
          <w:tcPr>
            <w:tcW w:w="600" w:type="dxa"/>
            <w:tcBorders>
              <w:top w:val="single" w:sz="8"/>
              <w:left w:val="single" w:sz="8"/>
              <w:bottom w:val="single" w:sz="8"/>
              <w:right w:val="single" w:sz="8"/>
            </w:tcBorders>
            <w:tcMar>
              <w:left w:w="108" w:type="dxa"/>
              <w:right w:w="108" w:type="dxa"/>
            </w:tcMar>
            <w:vAlign w:val="top"/>
          </w:tcPr>
          <w:p w:rsidR="2F18A713" w:rsidP="2F18A713" w:rsidRDefault="2F18A713" w14:paraId="793DDEAE" w14:textId="2D22BD9C">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 xml:space="preserve">7.7 </w:t>
            </w:r>
          </w:p>
        </w:tc>
        <w:tc>
          <w:tcPr>
            <w:tcW w:w="2835" w:type="dxa"/>
            <w:tcBorders>
              <w:top w:val="single" w:sz="8"/>
              <w:left w:val="single" w:sz="8"/>
              <w:bottom w:val="single" w:sz="8"/>
              <w:right w:val="single" w:sz="8"/>
            </w:tcBorders>
            <w:tcMar>
              <w:left w:w="108" w:type="dxa"/>
              <w:right w:w="108" w:type="dxa"/>
            </w:tcMar>
            <w:vAlign w:val="top"/>
          </w:tcPr>
          <w:p w:rsidR="2F18A713" w:rsidP="2F18A713" w:rsidRDefault="2F18A713" w14:paraId="252C3E46" w14:textId="4DC45A2D">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 xml:space="preserve">Commissioning agreements </w:t>
            </w:r>
          </w:p>
        </w:tc>
        <w:tc>
          <w:tcPr>
            <w:tcW w:w="11430" w:type="dxa"/>
            <w:tcBorders>
              <w:top w:val="single" w:sz="8"/>
              <w:left w:val="single" w:sz="8"/>
              <w:bottom w:val="single" w:sz="8"/>
              <w:right w:val="single" w:sz="8"/>
            </w:tcBorders>
            <w:tcMar>
              <w:left w:w="108" w:type="dxa"/>
              <w:right w:w="108" w:type="dxa"/>
            </w:tcMar>
            <w:vAlign w:val="top"/>
          </w:tcPr>
          <w:p w:rsidR="2F18A713" w:rsidP="2F18A713" w:rsidRDefault="2F18A713" w14:paraId="7CFC8718" w14:textId="2B99B1A5">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 xml:space="preserve">This relates specifically to the child or young person who is being tracked as part of the inspection. </w:t>
            </w:r>
          </w:p>
          <w:p w:rsidR="2F18A713" w:rsidP="2F18A713" w:rsidRDefault="2F18A713" w14:paraId="6BEEDCD8" w14:textId="746F638F">
            <w:pPr>
              <w:spacing w:before="0" w:beforeAutospacing="off" w:after="0" w:afterAutospacing="off"/>
              <w:rPr>
                <w:rFonts w:ascii="Open Sans" w:hAnsi="Open Sans" w:eastAsia="Open Sans" w:cs="Open Sans"/>
                <w:color w:val="20275C"/>
                <w:sz w:val="22"/>
                <w:szCs w:val="22"/>
              </w:rPr>
            </w:pPr>
            <w:r w:rsidRPr="2F18A713" w:rsidR="2F18A713">
              <w:rPr>
                <w:rFonts w:ascii="Open Sans" w:hAnsi="Open Sans" w:eastAsia="Open Sans" w:cs="Open Sans"/>
                <w:color w:val="20275C"/>
                <w:sz w:val="22"/>
                <w:szCs w:val="22"/>
              </w:rPr>
              <w:t xml:space="preserve"> </w:t>
            </w:r>
          </w:p>
        </w:tc>
      </w:tr>
    </w:tbl>
    <w:p w:rsidRPr="00A80FCA" w:rsidR="00A80FCA" w:rsidP="2F18A713" w:rsidRDefault="00A80FCA" w14:paraId="6C83B37E" w14:textId="0E63EF85">
      <w:pPr>
        <w:spacing w:after="160" w:afterAutospacing="off" w:line="257" w:lineRule="auto"/>
        <w:rPr>
          <w:rFonts w:ascii="Open Sans" w:hAnsi="Open Sans" w:eastAsia="Open Sans" w:cs="Open Sans"/>
          <w:noProof w:val="0"/>
          <w:color w:val="20275C"/>
          <w:sz w:val="22"/>
          <w:szCs w:val="22"/>
          <w:lang w:val="en-GB"/>
        </w:rPr>
      </w:pPr>
    </w:p>
    <w:sectPr w:rsidRPr="00A80FCA" w:rsidR="00A80FCA" w:rsidSect="000C7C65">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1296" w:bottom="1296" w:left="1296"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54E8" w:rsidP="00A35009" w:rsidRDefault="00D654E8" w14:paraId="1C8E59C8" w14:textId="77777777">
      <w:pPr>
        <w:spacing w:after="0" w:line="240" w:lineRule="auto"/>
      </w:pPr>
      <w:r>
        <w:separator/>
      </w:r>
    </w:p>
  </w:endnote>
  <w:endnote w:type="continuationSeparator" w:id="0">
    <w:p w:rsidR="00D654E8" w:rsidP="00A35009" w:rsidRDefault="00D654E8" w14:paraId="3CE620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Light">
    <w:panose1 w:val="020B03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FD" w:rsidRDefault="00551FFD" w14:paraId="5CBB99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109030"/>
      <w:docPartObj>
        <w:docPartGallery w:val="Page Numbers (Bottom of Page)"/>
        <w:docPartUnique/>
      </w:docPartObj>
    </w:sdtPr>
    <w:sdtEndPr>
      <w:rPr>
        <w:noProof/>
      </w:rPr>
    </w:sdtEndPr>
    <w:sdtContent>
      <w:p w:rsidR="005314BC" w:rsidRDefault="005314BC" w14:paraId="7CB20B36" w14:textId="4DC344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314BC" w:rsidP="002432C9" w:rsidRDefault="005314BC" w14:paraId="044BA0D1" w14:textId="67A2124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FD" w:rsidRDefault="00551FFD" w14:paraId="7C819D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54E8" w:rsidP="00A35009" w:rsidRDefault="00D654E8" w14:paraId="1EE98325" w14:textId="77777777">
      <w:pPr>
        <w:spacing w:after="0" w:line="240" w:lineRule="auto"/>
      </w:pPr>
      <w:r>
        <w:separator/>
      </w:r>
    </w:p>
  </w:footnote>
  <w:footnote w:type="continuationSeparator" w:id="0">
    <w:p w:rsidR="00D654E8" w:rsidP="00A35009" w:rsidRDefault="00D654E8" w14:paraId="0E8F04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FD" w:rsidRDefault="00551FFD" w14:paraId="218CC0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C35CC" w:rsidR="005314BC" w:rsidP="771621BE" w:rsidRDefault="006C35CC" w14:paraId="3DD1E29F" w14:textId="29D97AD2">
    <w:pPr>
      <w:pStyle w:val="Normal"/>
      <w:jc w:val="right"/>
      <w:rPr>
        <w:rFonts w:ascii="Open Sans" w:hAnsi="Open Sans" w:cs="Open Sans"/>
        <w:b w:val="1"/>
        <w:bCs w:val="1"/>
        <w:color w:val="0099A0"/>
        <w:sz w:val="32"/>
        <w:szCs w:val="32"/>
      </w:rPr>
    </w:pPr>
    <w:r w:rsidR="771621BE">
      <w:drawing>
        <wp:inline wp14:editId="7F583A9A" wp14:anchorId="3C98223E">
          <wp:extent cx="1962000" cy="684000"/>
          <wp:effectExtent l="0" t="0" r="0" b="0"/>
          <wp:docPr id="1003766724" name="Picture 2" title=""/>
          <wp:cNvGraphicFramePr>
            <a:graphicFrameLocks noChangeAspect="1"/>
          </wp:cNvGraphicFramePr>
          <a:graphic>
            <a:graphicData uri="http://schemas.openxmlformats.org/drawingml/2006/picture">
              <pic:pic>
                <pic:nvPicPr>
                  <pic:cNvPr id="0" name="Picture 2"/>
                  <pic:cNvPicPr/>
                </pic:nvPicPr>
                <pic:blipFill>
                  <a:blip r:embed="Re3eae7c0cd1d453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962000" cy="68400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FFD" w:rsidRDefault="00551FFD" w14:paraId="05D9A02E" w14:textId="77777777">
    <w:pPr>
      <w:pStyle w:val="Header"/>
    </w:pPr>
  </w:p>
</w:hdr>
</file>

<file path=word/intelligence2.xml><?xml version="1.0" encoding="utf-8"?>
<int2:intelligence xmlns:int2="http://schemas.microsoft.com/office/intelligence/2020/intelligence">
  <int2:observations>
    <int2:bookmark int2:bookmarkName="_Int_290Y92dj" int2:invalidationBookmarkName="" int2:hashCode="EuN5hUN35Ba+hp" int2:id="EFpE8PgG">
      <int2:state int2:type="WordDesignerSuggestedImageAnnotation" int2:value="Reviewed"/>
    </int2:bookmark>
    <int2:bookmark int2:bookmarkName="_Int_1fmuf51A" int2:invalidationBookmarkName="" int2:hashCode="EuN5hUN35Ba+hp" int2:id="k45Fgflq">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1">
    <w:nsid w:val="293c6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35711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1fcba1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54ab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4376a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9246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1bdf0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6a12b8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f71ea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749434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e5223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d1513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c9d87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239cca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7b4683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b6ddf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e059d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dbf71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1a17e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1e4f6a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1a6e3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2fc29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a88eb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2341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f742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4378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2bf44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e19d3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a7644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28865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93c69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f8ffc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4fdc1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5519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15cf2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e698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c867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0b958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fc5a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25455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43ca8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23e8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74626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7d2e5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aa63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f5e26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f72c1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7a9b2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8b8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e149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27631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2be0f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78d8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209607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1c1f9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0955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3d5e9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54a39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871f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d66f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4ef0d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18103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481be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83f82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2a52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6b416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357c8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0ae8b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24d1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fd365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d0caf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6d4b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b8df9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6c6a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2506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ae872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9da74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b57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7e6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CD947CB"/>
    <w:multiLevelType w:val="hybridMultilevel"/>
    <w:tmpl w:val="0FEC548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4B2D52A3"/>
    <w:multiLevelType w:val="hybridMultilevel"/>
    <w:tmpl w:val="31447416"/>
    <w:lvl w:ilvl="0" w:tplc="EA321D2C">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D1A7072"/>
    <w:multiLevelType w:val="hybridMultilevel"/>
    <w:tmpl w:val="288E36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192620303">
    <w:abstractNumId w:val="0"/>
  </w:num>
  <w:num w:numId="2" w16cid:durableId="1555971420">
    <w:abstractNumId w:val="1"/>
  </w:num>
  <w:num w:numId="3" w16cid:durableId="202329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46B30"/>
    <w:rsid w:val="000A00B1"/>
    <w:rsid w:val="000C7C65"/>
    <w:rsid w:val="000E03E4"/>
    <w:rsid w:val="000E3481"/>
    <w:rsid w:val="00102FE6"/>
    <w:rsid w:val="00112EDA"/>
    <w:rsid w:val="001343A8"/>
    <w:rsid w:val="00152C13"/>
    <w:rsid w:val="00162E44"/>
    <w:rsid w:val="001639E6"/>
    <w:rsid w:val="00181FFE"/>
    <w:rsid w:val="001A4AFB"/>
    <w:rsid w:val="00207E2A"/>
    <w:rsid w:val="002432C9"/>
    <w:rsid w:val="00271220"/>
    <w:rsid w:val="002BA2DF"/>
    <w:rsid w:val="002C2BA0"/>
    <w:rsid w:val="002F3CEF"/>
    <w:rsid w:val="002F79AF"/>
    <w:rsid w:val="00304D47"/>
    <w:rsid w:val="0036429F"/>
    <w:rsid w:val="0037052D"/>
    <w:rsid w:val="003C5C64"/>
    <w:rsid w:val="003F63D2"/>
    <w:rsid w:val="00406D80"/>
    <w:rsid w:val="004540A4"/>
    <w:rsid w:val="00496A6B"/>
    <w:rsid w:val="004972BB"/>
    <w:rsid w:val="004C31AE"/>
    <w:rsid w:val="004D0810"/>
    <w:rsid w:val="004D773E"/>
    <w:rsid w:val="005314BC"/>
    <w:rsid w:val="00543EF1"/>
    <w:rsid w:val="00551FFD"/>
    <w:rsid w:val="00556AA1"/>
    <w:rsid w:val="00563CC7"/>
    <w:rsid w:val="00587027"/>
    <w:rsid w:val="005D24C9"/>
    <w:rsid w:val="005F3AB4"/>
    <w:rsid w:val="006147CE"/>
    <w:rsid w:val="00633876"/>
    <w:rsid w:val="00664AA3"/>
    <w:rsid w:val="00675516"/>
    <w:rsid w:val="0067641D"/>
    <w:rsid w:val="00696D00"/>
    <w:rsid w:val="006B3ECD"/>
    <w:rsid w:val="006C35CC"/>
    <w:rsid w:val="007029FD"/>
    <w:rsid w:val="00753CDC"/>
    <w:rsid w:val="00775DF1"/>
    <w:rsid w:val="00776440"/>
    <w:rsid w:val="007E08EA"/>
    <w:rsid w:val="007F207C"/>
    <w:rsid w:val="00801E00"/>
    <w:rsid w:val="00815C1F"/>
    <w:rsid w:val="00835FBA"/>
    <w:rsid w:val="0084235D"/>
    <w:rsid w:val="00857A3C"/>
    <w:rsid w:val="0089603B"/>
    <w:rsid w:val="008A508B"/>
    <w:rsid w:val="008F675E"/>
    <w:rsid w:val="00932625"/>
    <w:rsid w:val="00966E23"/>
    <w:rsid w:val="00975E00"/>
    <w:rsid w:val="009F3CF4"/>
    <w:rsid w:val="009F79E2"/>
    <w:rsid w:val="00A35009"/>
    <w:rsid w:val="00A80FCA"/>
    <w:rsid w:val="00A865F3"/>
    <w:rsid w:val="00AB621E"/>
    <w:rsid w:val="00AE4B53"/>
    <w:rsid w:val="00B117EA"/>
    <w:rsid w:val="00B330DF"/>
    <w:rsid w:val="00B617FB"/>
    <w:rsid w:val="00B857E1"/>
    <w:rsid w:val="00B97255"/>
    <w:rsid w:val="00BB6181"/>
    <w:rsid w:val="00BE38E2"/>
    <w:rsid w:val="00BE5633"/>
    <w:rsid w:val="00C701F9"/>
    <w:rsid w:val="00C74A04"/>
    <w:rsid w:val="00CE1434"/>
    <w:rsid w:val="00D654E8"/>
    <w:rsid w:val="00D76ABC"/>
    <w:rsid w:val="00DD7A6E"/>
    <w:rsid w:val="00E02B1D"/>
    <w:rsid w:val="00E314CE"/>
    <w:rsid w:val="00E607E4"/>
    <w:rsid w:val="00E828AB"/>
    <w:rsid w:val="00E9605A"/>
    <w:rsid w:val="00EB205F"/>
    <w:rsid w:val="00EB416A"/>
    <w:rsid w:val="00EF0F50"/>
    <w:rsid w:val="00EF12B3"/>
    <w:rsid w:val="00F01337"/>
    <w:rsid w:val="00F2448D"/>
    <w:rsid w:val="00F24901"/>
    <w:rsid w:val="00F76EEA"/>
    <w:rsid w:val="00F978FE"/>
    <w:rsid w:val="00FD78F7"/>
    <w:rsid w:val="017C70FB"/>
    <w:rsid w:val="026592C3"/>
    <w:rsid w:val="02701933"/>
    <w:rsid w:val="059CADE4"/>
    <w:rsid w:val="090D195F"/>
    <w:rsid w:val="09A96B4D"/>
    <w:rsid w:val="0B3E80E1"/>
    <w:rsid w:val="0B765DD9"/>
    <w:rsid w:val="0BEE7BD5"/>
    <w:rsid w:val="0C5B2548"/>
    <w:rsid w:val="0D7E2796"/>
    <w:rsid w:val="0DE2D2A7"/>
    <w:rsid w:val="0E9FE0C4"/>
    <w:rsid w:val="118D2DAA"/>
    <w:rsid w:val="135B0025"/>
    <w:rsid w:val="137AFD6E"/>
    <w:rsid w:val="168A0A68"/>
    <w:rsid w:val="17AE73AB"/>
    <w:rsid w:val="18BCA723"/>
    <w:rsid w:val="193206EB"/>
    <w:rsid w:val="19381E41"/>
    <w:rsid w:val="19437308"/>
    <w:rsid w:val="1B270DE0"/>
    <w:rsid w:val="1B8F226F"/>
    <w:rsid w:val="1C55673B"/>
    <w:rsid w:val="1DB95119"/>
    <w:rsid w:val="1E55B3D9"/>
    <w:rsid w:val="1FA8E7A9"/>
    <w:rsid w:val="2102B064"/>
    <w:rsid w:val="22311404"/>
    <w:rsid w:val="2367A416"/>
    <w:rsid w:val="23765FFF"/>
    <w:rsid w:val="240FA2B7"/>
    <w:rsid w:val="260F7E0D"/>
    <w:rsid w:val="26B60620"/>
    <w:rsid w:val="28A9658F"/>
    <w:rsid w:val="2918DA8B"/>
    <w:rsid w:val="29CCC6CF"/>
    <w:rsid w:val="29DED401"/>
    <w:rsid w:val="2A4535F0"/>
    <w:rsid w:val="2D7CD6B2"/>
    <w:rsid w:val="2D7CD6B2"/>
    <w:rsid w:val="2E071A26"/>
    <w:rsid w:val="2E071A26"/>
    <w:rsid w:val="2F18A713"/>
    <w:rsid w:val="2FA2EA87"/>
    <w:rsid w:val="310544E3"/>
    <w:rsid w:val="349FFB75"/>
    <w:rsid w:val="3873C482"/>
    <w:rsid w:val="39CFA9ED"/>
    <w:rsid w:val="3FBAE89C"/>
    <w:rsid w:val="41E8498C"/>
    <w:rsid w:val="41EC7105"/>
    <w:rsid w:val="435D013F"/>
    <w:rsid w:val="4535427C"/>
    <w:rsid w:val="4A7C425A"/>
    <w:rsid w:val="4B7AA666"/>
    <w:rsid w:val="4C627204"/>
    <w:rsid w:val="4C66EE88"/>
    <w:rsid w:val="4C937ED9"/>
    <w:rsid w:val="4D2F5C7D"/>
    <w:rsid w:val="4D368CDB"/>
    <w:rsid w:val="4E1AF4C4"/>
    <w:rsid w:val="4ED8A38F"/>
    <w:rsid w:val="4EFC9CAD"/>
    <w:rsid w:val="4F403760"/>
    <w:rsid w:val="500660E0"/>
    <w:rsid w:val="5090A454"/>
    <w:rsid w:val="50F4C44B"/>
    <w:rsid w:val="55641577"/>
    <w:rsid w:val="56E23EBE"/>
    <w:rsid w:val="56E806BD"/>
    <w:rsid w:val="5900024D"/>
    <w:rsid w:val="5983F645"/>
    <w:rsid w:val="5AFA4C6C"/>
    <w:rsid w:val="5CBB9707"/>
    <w:rsid w:val="5CE97C3C"/>
    <w:rsid w:val="5DA5AF37"/>
    <w:rsid w:val="5E576768"/>
    <w:rsid w:val="637C6AE0"/>
    <w:rsid w:val="63C9A9B6"/>
    <w:rsid w:val="63E65666"/>
    <w:rsid w:val="63FA10A7"/>
    <w:rsid w:val="65D4E807"/>
    <w:rsid w:val="667A8B57"/>
    <w:rsid w:val="680E47BD"/>
    <w:rsid w:val="6ACAE3E3"/>
    <w:rsid w:val="6CBF4484"/>
    <w:rsid w:val="6F326E03"/>
    <w:rsid w:val="70A6E03A"/>
    <w:rsid w:val="72BD741C"/>
    <w:rsid w:val="73D2C5D1"/>
    <w:rsid w:val="76C8045D"/>
    <w:rsid w:val="771621BE"/>
    <w:rsid w:val="77847214"/>
    <w:rsid w:val="79204275"/>
    <w:rsid w:val="79204275"/>
    <w:rsid w:val="79DFCA6F"/>
    <w:rsid w:val="7A230F7D"/>
    <w:rsid w:val="7A6483C8"/>
    <w:rsid w:val="7ACCEC75"/>
    <w:rsid w:val="7C9C7296"/>
    <w:rsid w:val="7CF41B77"/>
    <w:rsid w:val="7D8EA7A4"/>
    <w:rsid w:val="7D96330E"/>
    <w:rsid w:val="7F3C76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862B"/>
  <w15:chartTrackingRefBased/>
  <w15:docId w15:val="{582F339D-1484-45DE-BBC1-D4D14398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496A6B"/>
    <w:rPr>
      <w:rFonts w:ascii="Corbel" w:hAnsi="Corbel" w:eastAsiaTheme="majorEastAsia"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styleId="SubtitleChar" w:customStyle="1">
    <w:name w:val="Subtitle Char"/>
    <w:basedOn w:val="DefaultParagraphFont"/>
    <w:link w:val="Subtitle"/>
    <w:uiPriority w:val="11"/>
    <w:rsid w:val="00496A6B"/>
    <w:rPr>
      <w:rFonts w:ascii="Corbel Light" w:hAnsi="Corbel Light"/>
      <w:color w:val="5E5F5F"/>
    </w:rPr>
  </w:style>
  <w:style w:type="character" w:styleId="Heading2Char" w:customStyle="1">
    <w:name w:val="Heading 2 Char"/>
    <w:basedOn w:val="DefaultParagraphFont"/>
    <w:link w:val="Heading2"/>
    <w:uiPriority w:val="9"/>
    <w:rsid w:val="00112EDA"/>
    <w:rPr>
      <w:rFonts w:ascii="Corbel" w:hAnsi="Corbel" w:eastAsiaTheme="majorEastAsia" w:cstheme="majorBidi"/>
      <w:color w:val="213568"/>
      <w:spacing w:val="-10"/>
      <w:kern w:val="28"/>
      <w:sz w:val="28"/>
      <w:szCs w:val="28"/>
    </w:rPr>
  </w:style>
  <w:style w:type="character" w:styleId="Heading3Char" w:customStyle="1">
    <w:name w:val="Heading 3 Char"/>
    <w:basedOn w:val="DefaultParagraphFont"/>
    <w:link w:val="Heading3"/>
    <w:uiPriority w:val="9"/>
    <w:rsid w:val="00112EDA"/>
    <w:rPr>
      <w:rFonts w:ascii="Corbel" w:hAnsi="Corbel" w:eastAsiaTheme="majorEastAsia"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hAnsi="Corbel" w:eastAsiaTheme="majorEastAsia" w:cstheme="majorBidi"/>
      <w:b/>
      <w:bCs/>
      <w:color w:val="213568"/>
      <w:spacing w:val="-10"/>
      <w:kern w:val="28"/>
      <w:sz w:val="56"/>
      <w:szCs w:val="56"/>
    </w:rPr>
  </w:style>
  <w:style w:type="character" w:styleId="TitleChar" w:customStyle="1">
    <w:name w:val="Title Char"/>
    <w:basedOn w:val="DefaultParagraphFont"/>
    <w:link w:val="Title"/>
    <w:uiPriority w:val="10"/>
    <w:rsid w:val="00496A6B"/>
    <w:rPr>
      <w:rFonts w:ascii="Corbel" w:hAnsi="Corbel" w:eastAsiaTheme="majorEastAsia" w:cstheme="majorBidi"/>
      <w:b/>
      <w:bCs/>
      <w:color w:val="213568"/>
      <w:spacing w:val="-10"/>
      <w:kern w:val="28"/>
      <w:sz w:val="56"/>
      <w:szCs w:val="56"/>
    </w:rPr>
  </w:style>
  <w:style w:type="paragraph" w:styleId="ListParagraph">
    <w:name w:val="List Paragraph"/>
    <w:basedOn w:val="Normal"/>
    <w:uiPriority w:val="34"/>
    <w:qFormat/>
    <w:rsid w:val="0084235D"/>
    <w:pPr>
      <w:numPr>
        <w:numId w:val="2"/>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CommentReference">
    <w:name w:val="annotation reference"/>
    <w:basedOn w:val="DefaultParagraphFont"/>
    <w:uiPriority w:val="99"/>
    <w:semiHidden/>
    <w:unhideWhenUsed/>
    <w:rsid w:val="001639E6"/>
    <w:rPr>
      <w:sz w:val="16"/>
      <w:szCs w:val="16"/>
    </w:rPr>
  </w:style>
  <w:style w:type="paragraph" w:styleId="CommentText">
    <w:name w:val="annotation text"/>
    <w:basedOn w:val="Normal"/>
    <w:link w:val="CommentTextChar"/>
    <w:uiPriority w:val="99"/>
    <w:semiHidden/>
    <w:unhideWhenUsed/>
    <w:rsid w:val="001639E6"/>
    <w:pPr>
      <w:spacing w:line="240" w:lineRule="auto"/>
    </w:pPr>
    <w:rPr>
      <w:sz w:val="20"/>
      <w:szCs w:val="20"/>
    </w:rPr>
  </w:style>
  <w:style w:type="character" w:styleId="CommentTextChar" w:customStyle="1">
    <w:name w:val="Comment Text Char"/>
    <w:basedOn w:val="DefaultParagraphFont"/>
    <w:link w:val="CommentText"/>
    <w:uiPriority w:val="99"/>
    <w:semiHidden/>
    <w:rsid w:val="001639E6"/>
    <w:rPr>
      <w:sz w:val="20"/>
      <w:szCs w:val="20"/>
    </w:rPr>
  </w:style>
  <w:style w:type="paragraph" w:styleId="CommentSubject">
    <w:name w:val="annotation subject"/>
    <w:basedOn w:val="CommentText"/>
    <w:next w:val="CommentText"/>
    <w:link w:val="CommentSubjectChar"/>
    <w:uiPriority w:val="99"/>
    <w:semiHidden/>
    <w:unhideWhenUsed/>
    <w:rsid w:val="001639E6"/>
    <w:rPr>
      <w:b/>
      <w:bCs/>
    </w:rPr>
  </w:style>
  <w:style w:type="character" w:styleId="CommentSubjectChar" w:customStyle="1">
    <w:name w:val="Comment Subject Char"/>
    <w:basedOn w:val="CommentTextChar"/>
    <w:link w:val="CommentSubject"/>
    <w:uiPriority w:val="99"/>
    <w:semiHidden/>
    <w:rsid w:val="001639E6"/>
    <w:rPr>
      <w:b/>
      <w:bCs/>
      <w:sz w:val="20"/>
      <w:szCs w:val="20"/>
    </w:rPr>
  </w:style>
  <w:style w:type="paragraph" w:styleId="BalloonText">
    <w:name w:val="Balloon Text"/>
    <w:basedOn w:val="Normal"/>
    <w:link w:val="BalloonTextChar"/>
    <w:uiPriority w:val="99"/>
    <w:semiHidden/>
    <w:unhideWhenUsed/>
    <w:rsid w:val="001639E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63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20/10/relationships/intelligence" Target="intelligence2.xml" Id="R71d80e147318409a" /></Relationships>
</file>

<file path=word/_rels/header2.xml.rels>&#65279;<?xml version="1.0" encoding="utf-8"?><Relationships xmlns="http://schemas.openxmlformats.org/package/2006/relationships"><Relationship Type="http://schemas.openxmlformats.org/officeDocument/2006/relationships/image" Target="/media/image2.png" Id="Re3eae7c0cd1d4530" /></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3d6bf5-bc38-4048-bee4-f9d523e76956" xsi:nil="true"/>
    <TaxCatchAll xmlns="47ec70bc-4bc4-45ec-8543-b4f1fe6a2bfb" xsi:nil="true"/>
    <lcf76f155ced4ddcb4097134ff3c332f xmlns="043d6bf5-bc38-4048-bee4-f9d523e76956">
      <Terms xmlns="http://schemas.microsoft.com/office/infopath/2007/PartnerControls"/>
    </lcf76f155ced4ddcb4097134ff3c332f>
    <SharedWithUsers xmlns="47ec70bc-4bc4-45ec-8543-b4f1fe6a2bfb">
      <UserInfo>
        <DisplayName>Paul Bunker</DisplayName>
        <AccountId>15</AccountId>
        <AccountType/>
      </UserInfo>
      <UserInfo>
        <DisplayName>Angela Gibbons</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12A4D7158F3C4E808DA44ADBFAA460" ma:contentTypeVersion="17" ma:contentTypeDescription="Create a new document." ma:contentTypeScope="" ma:versionID="6b98e459b5cc0809d3569fc46e40c29c">
  <xsd:schema xmlns:xsd="http://www.w3.org/2001/XMLSchema" xmlns:xs="http://www.w3.org/2001/XMLSchema" xmlns:p="http://schemas.microsoft.com/office/2006/metadata/properties" xmlns:ns2="043d6bf5-bc38-4048-bee4-f9d523e76956" xmlns:ns3="47ec70bc-4bc4-45ec-8543-b4f1fe6a2bfb" targetNamespace="http://schemas.microsoft.com/office/2006/metadata/properties" ma:root="true" ma:fieldsID="b1d1a74839e09d7e37957ad4ee28ca32" ns2:_="" ns3:_="">
    <xsd:import namespace="043d6bf5-bc38-4048-bee4-f9d523e76956"/>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6bf5-bc38-4048-bee4-f9d523e7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 ds:uri="47ec70bc-4bc4-45ec-8543-b4f1fe6a2bfb"/>
    <ds:schemaRef ds:uri="043d6bf5-bc38-4048-bee4-f9d523e76956"/>
    <ds:schemaRef ds:uri="a4140a1a-7ed2-4775-a8da-9b9f6908c760"/>
  </ds:schemaRefs>
</ds:datastoreItem>
</file>

<file path=customXml/itemProps2.xml><?xml version="1.0" encoding="utf-8"?>
<ds:datastoreItem xmlns:ds="http://schemas.openxmlformats.org/officeDocument/2006/customXml" ds:itemID="{F2866D2D-20E3-4461-8250-AF378B622407}">
  <ds:schemaRefs>
    <ds:schemaRef ds:uri="http://schemas.openxmlformats.org/officeDocument/2006/bibliography"/>
  </ds:schemaRefs>
</ds:datastoreItem>
</file>

<file path=customXml/itemProps3.xml><?xml version="1.0" encoding="utf-8"?>
<ds:datastoreItem xmlns:ds="http://schemas.openxmlformats.org/officeDocument/2006/customXml" ds:itemID="{DF9DCE2C-2FFA-46C5-93BB-09B717D9B6D2}"/>
</file>

<file path=customXml/itemProps4.xml><?xml version="1.0" encoding="utf-8"?>
<ds:datastoreItem xmlns:ds="http://schemas.openxmlformats.org/officeDocument/2006/customXml" ds:itemID="{BC65A35B-65F6-4667-83DD-A58282A4AD2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 Chelminiak</dc:creator>
  <keywords/>
  <dc:description/>
  <lastModifiedBy>Jenni Howard</lastModifiedBy>
  <revision>13</revision>
  <dcterms:created xsi:type="dcterms:W3CDTF">2023-10-13T08:30:00.0000000Z</dcterms:created>
  <dcterms:modified xsi:type="dcterms:W3CDTF">2024-01-30T18:06:35.3978823Z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0x010100EA12A4D7158F3C4E808DA44ADBFAA460</vt:lpwstr>
  </property>
  <property fmtid="{D5CDD505-2E9C-101B-9397-08002B2CF9AE}" pid="3" name="MediaServiceImageTags">
    <vt:lpwstr/>
  </property>
  <property fmtid="{D5CDD505-2E9C-101B-9397-08002B2CF9AE}" pid="4" name="SharedWithUsers">
    <vt:lpwstr>15;#Paul Bunker;#14;#Angela Gibbons</vt:lpwstr>
  </property>
</Properties>
</file>