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6611"/>
      </w:tblGrid>
      <w:tr w:rsidR="00E038A1" w:rsidRPr="008F2355" w14:paraId="323F6197" w14:textId="77777777" w:rsidTr="00554EF5">
        <w:tc>
          <w:tcPr>
            <w:tcW w:w="2405" w:type="dxa"/>
            <w:tcBorders>
              <w:top w:val="nil"/>
              <w:left w:val="nil"/>
              <w:bottom w:val="single" w:sz="4" w:space="0" w:color="D9D9D9" w:themeColor="background1" w:themeShade="D9"/>
              <w:right w:val="single" w:sz="4" w:space="0" w:color="D9D9D9" w:themeColor="background1" w:themeShade="D9"/>
            </w:tcBorders>
            <w:hideMark/>
          </w:tcPr>
          <w:p w14:paraId="5C9E9B28" w14:textId="3799517B" w:rsidR="00E038A1" w:rsidRPr="008F2355" w:rsidRDefault="00AF0784" w:rsidP="00554EF5">
            <w:pPr>
              <w:pStyle w:val="Heading1"/>
              <w:rPr>
                <w:rFonts w:ascii="Open Sans" w:hAnsi="Open Sans" w:cs="Open Sans"/>
                <w:color w:val="0099A0"/>
              </w:rPr>
            </w:pPr>
            <w:r>
              <w:rPr>
                <w:rFonts w:ascii="Open Sans" w:hAnsi="Open Sans" w:cs="Open Sans"/>
                <w:color w:val="0099A0"/>
              </w:rPr>
              <w:t>Title:</w:t>
            </w:r>
          </w:p>
        </w:tc>
        <w:tc>
          <w:tcPr>
            <w:tcW w:w="6611" w:type="dxa"/>
            <w:tcBorders>
              <w:top w:val="nil"/>
              <w:left w:val="single" w:sz="4" w:space="0" w:color="D9D9D9" w:themeColor="background1" w:themeShade="D9"/>
              <w:bottom w:val="single" w:sz="4" w:space="0" w:color="D9D9D9" w:themeColor="background1" w:themeShade="D9"/>
              <w:right w:val="nil"/>
            </w:tcBorders>
          </w:tcPr>
          <w:p w14:paraId="4BB32280" w14:textId="27887F6B" w:rsidR="00E038A1" w:rsidRPr="004A5A63" w:rsidRDefault="004A5A63" w:rsidP="00554EF5">
            <w:pPr>
              <w:spacing w:before="120" w:after="120"/>
              <w:rPr>
                <w:rStyle w:val="SubtleEmphasis"/>
                <w:rFonts w:ascii="Open Sans" w:hAnsi="Open Sans" w:cs="Open Sans"/>
                <w:i w:val="0"/>
                <w:iCs w:val="0"/>
                <w:color w:val="20275C"/>
              </w:rPr>
            </w:pPr>
            <w:r w:rsidRPr="004A5A63">
              <w:rPr>
                <w:rStyle w:val="SubtleEmphasis"/>
                <w:rFonts w:ascii="Open Sans" w:hAnsi="Open Sans" w:cs="Open Sans"/>
                <w:i w:val="0"/>
                <w:iCs w:val="0"/>
                <w:color w:val="20275C"/>
              </w:rPr>
              <w:t>Contract monitoring: Suspension procedures</w:t>
            </w:r>
          </w:p>
        </w:tc>
      </w:tr>
      <w:tr w:rsidR="003815C9" w:rsidRPr="008F2355" w14:paraId="3C0FCBD2" w14:textId="77777777" w:rsidTr="00554EF5">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08DD271" w14:textId="284433D1" w:rsidR="003815C9" w:rsidRPr="008F2355" w:rsidRDefault="00AF0784" w:rsidP="00554EF5">
            <w:pPr>
              <w:pStyle w:val="Heading1"/>
              <w:rPr>
                <w:rFonts w:ascii="Open Sans" w:hAnsi="Open Sans" w:cs="Open Sans"/>
                <w:color w:val="0099A0"/>
              </w:rPr>
            </w:pPr>
            <w:r>
              <w:rPr>
                <w:rFonts w:ascii="Open Sans" w:hAnsi="Open Sans" w:cs="Open Sans"/>
                <w:color w:val="0099A0"/>
              </w:rPr>
              <w:t>Set up 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BCEEABB" w14:textId="114A4E98" w:rsidR="003815C9" w:rsidRDefault="00E87F27" w:rsidP="00554EF5">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May</w:t>
            </w:r>
            <w:r w:rsidR="00AF0784" w:rsidRPr="00AF0784">
              <w:rPr>
                <w:rStyle w:val="SubtleEmphasis"/>
                <w:rFonts w:ascii="Open Sans" w:hAnsi="Open Sans" w:cs="Open Sans"/>
                <w:i w:val="0"/>
                <w:iCs w:val="0"/>
                <w:color w:val="20275C"/>
              </w:rPr>
              <w:t xml:space="preserve"> 2025</w:t>
            </w:r>
          </w:p>
        </w:tc>
      </w:tr>
      <w:tr w:rsidR="00E038A1" w:rsidRPr="008F2355" w14:paraId="56F7FD45" w14:textId="77777777" w:rsidTr="00554EF5">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448FB692" w14:textId="682EFB8E" w:rsidR="00E038A1" w:rsidRPr="008F2355" w:rsidRDefault="00AF0784" w:rsidP="00554EF5">
            <w:pPr>
              <w:pStyle w:val="Heading1"/>
              <w:rPr>
                <w:rFonts w:ascii="Open Sans" w:hAnsi="Open Sans" w:cs="Open Sans"/>
                <w:color w:val="0099A0"/>
              </w:rPr>
            </w:pPr>
            <w:r>
              <w:rPr>
                <w:rFonts w:ascii="Open Sans" w:hAnsi="Open Sans" w:cs="Open Sans"/>
                <w:color w:val="0099A0"/>
              </w:rPr>
              <w:t>Review 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5BDB46" w14:textId="5D6C3012" w:rsidR="00E038A1" w:rsidRPr="008F2355" w:rsidRDefault="00E87F27" w:rsidP="00554EF5">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May</w:t>
            </w:r>
            <w:r w:rsidR="000056E0">
              <w:rPr>
                <w:rStyle w:val="SubtleEmphasis"/>
                <w:rFonts w:ascii="Open Sans" w:hAnsi="Open Sans" w:cs="Open Sans"/>
                <w:i w:val="0"/>
                <w:iCs w:val="0"/>
                <w:color w:val="20275C"/>
              </w:rPr>
              <w:t xml:space="preserve"> 2026</w:t>
            </w:r>
          </w:p>
        </w:tc>
      </w:tr>
      <w:tr w:rsidR="00E038A1" w:rsidRPr="008F2355" w14:paraId="7D848F94" w14:textId="77777777" w:rsidTr="00554EF5">
        <w:tc>
          <w:tcPr>
            <w:tcW w:w="2405" w:type="dxa"/>
            <w:tcBorders>
              <w:top w:val="single" w:sz="4" w:space="0" w:color="D9D9D9" w:themeColor="background1" w:themeShade="D9"/>
              <w:left w:val="nil"/>
              <w:bottom w:val="nil"/>
              <w:right w:val="single" w:sz="4" w:space="0" w:color="D9D9D9" w:themeColor="background1" w:themeShade="D9"/>
            </w:tcBorders>
            <w:hideMark/>
          </w:tcPr>
          <w:p w14:paraId="345F6D4E" w14:textId="7D75F598" w:rsidR="00E038A1" w:rsidRPr="008F2355" w:rsidRDefault="00AF0784" w:rsidP="00554EF5">
            <w:pPr>
              <w:pStyle w:val="Heading1"/>
              <w:rPr>
                <w:rFonts w:ascii="Open Sans" w:hAnsi="Open Sans" w:cs="Open Sans"/>
                <w:color w:val="0099A0"/>
              </w:rPr>
            </w:pPr>
            <w:r>
              <w:rPr>
                <w:rFonts w:ascii="Open Sans" w:hAnsi="Open Sans" w:cs="Open Sans"/>
                <w:color w:val="0099A0"/>
              </w:rPr>
              <w:t>Contact:</w:t>
            </w:r>
          </w:p>
        </w:tc>
        <w:tc>
          <w:tcPr>
            <w:tcW w:w="6611" w:type="dxa"/>
            <w:tcBorders>
              <w:top w:val="single" w:sz="4" w:space="0" w:color="D9D9D9" w:themeColor="background1" w:themeShade="D9"/>
              <w:left w:val="single" w:sz="4" w:space="0" w:color="D9D9D9" w:themeColor="background1" w:themeShade="D9"/>
              <w:bottom w:val="nil"/>
              <w:right w:val="nil"/>
            </w:tcBorders>
          </w:tcPr>
          <w:p w14:paraId="4BF1277C" w14:textId="641728B0" w:rsidR="00E038A1" w:rsidRPr="008F2355" w:rsidRDefault="00AF0784" w:rsidP="00554EF5">
            <w:pPr>
              <w:spacing w:before="120" w:after="120"/>
              <w:rPr>
                <w:rStyle w:val="SubtleEmphasis"/>
                <w:rFonts w:ascii="Open Sans" w:hAnsi="Open Sans" w:cs="Open Sans"/>
                <w:i w:val="0"/>
                <w:iCs w:val="0"/>
                <w:color w:val="20275C"/>
              </w:rPr>
            </w:pPr>
            <w:hyperlink r:id="rId11" w:history="1">
              <w:r w:rsidRPr="001C3FC3">
                <w:rPr>
                  <w:rStyle w:val="Hyperlink"/>
                  <w:rFonts w:ascii="Open Sans" w:hAnsi="Open Sans" w:cs="Open Sans"/>
                </w:rPr>
                <w:t>placementsnorthwest@stockport.gov.uk</w:t>
              </w:r>
            </w:hyperlink>
            <w:r>
              <w:rPr>
                <w:rStyle w:val="SubtleEmphasis"/>
                <w:rFonts w:ascii="Open Sans" w:hAnsi="Open Sans" w:cs="Open Sans"/>
                <w:i w:val="0"/>
                <w:iCs w:val="0"/>
                <w:color w:val="20275C"/>
              </w:rPr>
              <w:t xml:space="preserve"> </w:t>
            </w:r>
            <w:r w:rsidR="00784437">
              <w:rPr>
                <w:rStyle w:val="SubtleEmphasis"/>
                <w:rFonts w:ascii="Open Sans" w:hAnsi="Open Sans" w:cs="Open Sans"/>
                <w:i w:val="0"/>
                <w:iCs w:val="0"/>
                <w:color w:val="20275C"/>
              </w:rPr>
              <w:t xml:space="preserve"> </w:t>
            </w:r>
          </w:p>
        </w:tc>
      </w:tr>
    </w:tbl>
    <w:p w14:paraId="61852CE1" w14:textId="77777777" w:rsidR="00E038A1" w:rsidRPr="008F2355" w:rsidRDefault="00E038A1" w:rsidP="00E038A1">
      <w:pPr>
        <w:pStyle w:val="Heading1"/>
        <w:rPr>
          <w:rFonts w:ascii="Open Sans" w:hAnsi="Open Sans" w:cs="Open Sans"/>
          <w:color w:val="0099A0"/>
          <w:sz w:val="28"/>
          <w:szCs w:val="28"/>
        </w:rPr>
      </w:pPr>
    </w:p>
    <w:p w14:paraId="4D17A75A" w14:textId="30B6FE93" w:rsidR="00E038A1" w:rsidRPr="008F2355" w:rsidRDefault="006547D7" w:rsidP="00BC7388">
      <w:pPr>
        <w:pStyle w:val="Heading1"/>
        <w:spacing w:after="240" w:line="276" w:lineRule="auto"/>
        <w:rPr>
          <w:rFonts w:ascii="Open Sans" w:hAnsi="Open Sans" w:cs="Open Sans"/>
          <w:color w:val="0099A0"/>
          <w:sz w:val="28"/>
          <w:szCs w:val="28"/>
        </w:rPr>
      </w:pPr>
      <w:r>
        <w:rPr>
          <w:rFonts w:ascii="Open Sans" w:hAnsi="Open Sans" w:cs="Open Sans"/>
          <w:color w:val="0099A0"/>
          <w:sz w:val="28"/>
          <w:szCs w:val="28"/>
        </w:rPr>
        <w:t xml:space="preserve">Introduction </w:t>
      </w:r>
    </w:p>
    <w:p w14:paraId="45CA6520" w14:textId="5ABC01F4" w:rsidR="003975D4" w:rsidRDefault="003975D4" w:rsidP="00BA6426">
      <w:pPr>
        <w:pStyle w:val="Heading1"/>
        <w:spacing w:after="240" w:line="276" w:lineRule="auto"/>
        <w:rPr>
          <w:rFonts w:ascii="Open Sans" w:eastAsiaTheme="minorHAnsi" w:hAnsi="Open Sans" w:cs="Open Sans"/>
          <w:color w:val="002060"/>
          <w:spacing w:val="0"/>
          <w:kern w:val="0"/>
          <w:sz w:val="22"/>
          <w:szCs w:val="22"/>
        </w:rPr>
      </w:pPr>
      <w:r>
        <w:rPr>
          <w:rFonts w:ascii="Open Sans" w:eastAsiaTheme="minorHAnsi" w:hAnsi="Open Sans" w:cs="Open Sans"/>
          <w:color w:val="002060"/>
          <w:spacing w:val="0"/>
          <w:kern w:val="0"/>
          <w:sz w:val="22"/>
          <w:szCs w:val="22"/>
        </w:rPr>
        <w:t>This p</w:t>
      </w:r>
      <w:r w:rsidR="004A5A63">
        <w:rPr>
          <w:rFonts w:ascii="Open Sans" w:eastAsiaTheme="minorHAnsi" w:hAnsi="Open Sans" w:cs="Open Sans"/>
          <w:color w:val="002060"/>
          <w:spacing w:val="0"/>
          <w:kern w:val="0"/>
          <w:sz w:val="22"/>
          <w:szCs w:val="22"/>
        </w:rPr>
        <w:t>rocedure</w:t>
      </w:r>
      <w:r>
        <w:rPr>
          <w:rFonts w:ascii="Open Sans" w:eastAsiaTheme="minorHAnsi" w:hAnsi="Open Sans" w:cs="Open Sans"/>
          <w:color w:val="002060"/>
          <w:spacing w:val="0"/>
          <w:kern w:val="0"/>
          <w:sz w:val="22"/>
          <w:szCs w:val="22"/>
        </w:rPr>
        <w:t xml:space="preserve"> sets </w:t>
      </w:r>
      <w:r w:rsidR="00FC5B2F">
        <w:rPr>
          <w:rFonts w:ascii="Open Sans" w:eastAsiaTheme="minorHAnsi" w:hAnsi="Open Sans" w:cs="Open Sans"/>
          <w:color w:val="002060"/>
          <w:spacing w:val="0"/>
          <w:kern w:val="0"/>
          <w:sz w:val="22"/>
          <w:szCs w:val="22"/>
        </w:rPr>
        <w:t xml:space="preserve">out the </w:t>
      </w:r>
      <w:r w:rsidR="004A5A63">
        <w:rPr>
          <w:rFonts w:ascii="Open Sans" w:eastAsiaTheme="minorHAnsi" w:hAnsi="Open Sans" w:cs="Open Sans"/>
          <w:color w:val="002060"/>
          <w:spacing w:val="0"/>
          <w:kern w:val="0"/>
          <w:sz w:val="22"/>
          <w:szCs w:val="22"/>
        </w:rPr>
        <w:t xml:space="preserve">process </w:t>
      </w:r>
      <w:r w:rsidR="00E60C12">
        <w:rPr>
          <w:rFonts w:ascii="Open Sans" w:eastAsiaTheme="minorHAnsi" w:hAnsi="Open Sans" w:cs="Open Sans"/>
          <w:color w:val="002060"/>
          <w:spacing w:val="0"/>
          <w:kern w:val="0"/>
          <w:sz w:val="22"/>
          <w:szCs w:val="22"/>
        </w:rPr>
        <w:t>i</w:t>
      </w:r>
      <w:r w:rsidR="00FC5B2F">
        <w:rPr>
          <w:rFonts w:ascii="Open Sans" w:eastAsiaTheme="minorHAnsi" w:hAnsi="Open Sans" w:cs="Open Sans"/>
          <w:color w:val="002060"/>
          <w:spacing w:val="0"/>
          <w:kern w:val="0"/>
          <w:sz w:val="22"/>
          <w:szCs w:val="22"/>
        </w:rPr>
        <w:t>n relation to suspending providers from the four regional purchasing systems:</w:t>
      </w:r>
    </w:p>
    <w:p w14:paraId="7B837BE9" w14:textId="1397E8CB" w:rsidR="00F2476B" w:rsidRPr="002240FA" w:rsidRDefault="00F2476B" w:rsidP="002240FA">
      <w:pPr>
        <w:pStyle w:val="ListParagraph"/>
        <w:numPr>
          <w:ilvl w:val="0"/>
          <w:numId w:val="39"/>
        </w:numPr>
        <w:spacing w:after="240" w:line="276" w:lineRule="auto"/>
        <w:rPr>
          <w:rFonts w:ascii="Open Sans" w:hAnsi="Open Sans" w:cs="Open Sans"/>
          <w:color w:val="002060"/>
        </w:rPr>
      </w:pPr>
      <w:r w:rsidRPr="002240FA">
        <w:rPr>
          <w:rFonts w:ascii="Open Sans" w:hAnsi="Open Sans" w:cs="Open Sans"/>
          <w:color w:val="002060"/>
        </w:rPr>
        <w:t>CHILDREN AND YOUNG PEOPLE FOSTER CARE Flexible Purchasing System (FPS) Project information: DN319102</w:t>
      </w:r>
    </w:p>
    <w:p w14:paraId="3E6E15E0" w14:textId="1B21784D" w:rsidR="00A128CE" w:rsidRPr="002240FA" w:rsidRDefault="00A128CE" w:rsidP="002240FA">
      <w:pPr>
        <w:pStyle w:val="ListParagraph"/>
        <w:numPr>
          <w:ilvl w:val="0"/>
          <w:numId w:val="39"/>
        </w:numPr>
        <w:spacing w:after="240" w:line="276" w:lineRule="auto"/>
        <w:rPr>
          <w:rFonts w:ascii="Open Sans" w:hAnsi="Open Sans" w:cs="Open Sans"/>
          <w:color w:val="002060"/>
        </w:rPr>
      </w:pPr>
      <w:r w:rsidRPr="002240FA">
        <w:rPr>
          <w:rFonts w:ascii="Open Sans" w:hAnsi="Open Sans" w:cs="Open Sans"/>
          <w:color w:val="002060"/>
        </w:rPr>
        <w:t>Children and Young People’s Residential Placements Flexible Procurement System</w:t>
      </w:r>
      <w:r w:rsidR="00D071C9" w:rsidRPr="002240FA">
        <w:rPr>
          <w:rFonts w:ascii="Open Sans" w:hAnsi="Open Sans" w:cs="Open Sans"/>
          <w:color w:val="002060"/>
        </w:rPr>
        <w:t xml:space="preserve"> </w:t>
      </w:r>
      <w:r w:rsidRPr="002240FA">
        <w:rPr>
          <w:rFonts w:ascii="Open Sans" w:hAnsi="Open Sans" w:cs="Open Sans"/>
          <w:color w:val="002060"/>
        </w:rPr>
        <w:t>Project information: DN299325 </w:t>
      </w:r>
    </w:p>
    <w:p w14:paraId="73AC51F4" w14:textId="6E10DDEA" w:rsidR="00A128CE" w:rsidRPr="002240FA" w:rsidRDefault="00A128CE" w:rsidP="002240FA">
      <w:pPr>
        <w:pStyle w:val="ListParagraph"/>
        <w:numPr>
          <w:ilvl w:val="0"/>
          <w:numId w:val="39"/>
        </w:numPr>
        <w:spacing w:after="240" w:line="276" w:lineRule="auto"/>
        <w:rPr>
          <w:rFonts w:ascii="Open Sans" w:hAnsi="Open Sans" w:cs="Open Sans"/>
          <w:color w:val="002060"/>
        </w:rPr>
      </w:pPr>
      <w:r w:rsidRPr="002240FA">
        <w:rPr>
          <w:rFonts w:ascii="Open Sans" w:hAnsi="Open Sans" w:cs="Open Sans"/>
          <w:color w:val="002060"/>
        </w:rPr>
        <w:t>TC160 - Supported Accommodation (Young People) Flexible Purchasing System</w:t>
      </w:r>
      <w:r w:rsidR="000000E0" w:rsidRPr="002240FA">
        <w:rPr>
          <w:rFonts w:ascii="Open Sans" w:hAnsi="Open Sans" w:cs="Open Sans"/>
          <w:color w:val="002060"/>
        </w:rPr>
        <w:t xml:space="preserve"> </w:t>
      </w:r>
    </w:p>
    <w:p w14:paraId="5257600D" w14:textId="69BE85A1" w:rsidR="00A128CE" w:rsidRPr="002240FA" w:rsidRDefault="00A128CE" w:rsidP="002240FA">
      <w:pPr>
        <w:pStyle w:val="ListParagraph"/>
        <w:numPr>
          <w:ilvl w:val="0"/>
          <w:numId w:val="39"/>
        </w:numPr>
        <w:spacing w:after="240" w:line="276" w:lineRule="auto"/>
        <w:rPr>
          <w:rFonts w:ascii="Open Sans" w:hAnsi="Open Sans" w:cs="Open Sans"/>
          <w:color w:val="002060"/>
        </w:rPr>
      </w:pPr>
      <w:r w:rsidRPr="002240FA">
        <w:rPr>
          <w:rFonts w:ascii="Open Sans" w:hAnsi="Open Sans" w:cs="Open Sans"/>
          <w:color w:val="002060"/>
        </w:rPr>
        <w:t>North West Flexible Purchasing System for Special Educational Needs and Disabilities (SEND) Project information: DN505246</w:t>
      </w:r>
    </w:p>
    <w:p w14:paraId="0CAF2DCB" w14:textId="380A727A" w:rsidR="000056E0" w:rsidRDefault="000056E0" w:rsidP="000056E0">
      <w:pPr>
        <w:pStyle w:val="Heading1"/>
        <w:spacing w:after="240" w:line="276" w:lineRule="auto"/>
        <w:rPr>
          <w:rFonts w:ascii="Open Sans" w:eastAsiaTheme="minorHAnsi" w:hAnsi="Open Sans" w:cs="Open Sans"/>
          <w:color w:val="002060"/>
          <w:spacing w:val="0"/>
          <w:kern w:val="0"/>
          <w:sz w:val="22"/>
          <w:szCs w:val="22"/>
        </w:rPr>
      </w:pPr>
      <w:r>
        <w:rPr>
          <w:rFonts w:ascii="Open Sans" w:eastAsiaTheme="minorHAnsi" w:hAnsi="Open Sans" w:cs="Open Sans"/>
          <w:color w:val="002060"/>
          <w:spacing w:val="0"/>
          <w:kern w:val="0"/>
          <w:sz w:val="22"/>
          <w:szCs w:val="22"/>
        </w:rPr>
        <w:t>Suspension clauses are included in all the above contracts and this p</w:t>
      </w:r>
      <w:r w:rsidR="00FA35AC">
        <w:rPr>
          <w:rFonts w:ascii="Open Sans" w:eastAsiaTheme="minorHAnsi" w:hAnsi="Open Sans" w:cs="Open Sans"/>
          <w:color w:val="002060"/>
          <w:spacing w:val="0"/>
          <w:kern w:val="0"/>
          <w:sz w:val="22"/>
          <w:szCs w:val="22"/>
        </w:rPr>
        <w:t>rocedure</w:t>
      </w:r>
      <w:r>
        <w:rPr>
          <w:rFonts w:ascii="Open Sans" w:eastAsiaTheme="minorHAnsi" w:hAnsi="Open Sans" w:cs="Open Sans"/>
          <w:color w:val="002060"/>
          <w:spacing w:val="0"/>
          <w:kern w:val="0"/>
          <w:sz w:val="22"/>
          <w:szCs w:val="22"/>
        </w:rPr>
        <w:t xml:space="preserve"> sets out transparently our approach to managing the process. </w:t>
      </w:r>
    </w:p>
    <w:p w14:paraId="0FED82F2" w14:textId="77777777" w:rsidR="002433A9" w:rsidRDefault="002433A9" w:rsidP="00BA6426">
      <w:pPr>
        <w:pStyle w:val="Heading1"/>
        <w:spacing w:after="240" w:line="276" w:lineRule="auto"/>
        <w:rPr>
          <w:rFonts w:ascii="Open Sans" w:hAnsi="Open Sans" w:cs="Open Sans"/>
          <w:color w:val="0099A0"/>
          <w:sz w:val="28"/>
          <w:szCs w:val="28"/>
        </w:rPr>
      </w:pPr>
    </w:p>
    <w:p w14:paraId="76BB36E0" w14:textId="3E459EE5" w:rsidR="00BA6426" w:rsidRDefault="00BA6426" w:rsidP="00BA6426">
      <w:pPr>
        <w:pStyle w:val="Heading1"/>
        <w:spacing w:after="240" w:line="276" w:lineRule="auto"/>
        <w:rPr>
          <w:rFonts w:ascii="Open Sans" w:hAnsi="Open Sans" w:cs="Open Sans"/>
          <w:color w:val="0099A0"/>
          <w:sz w:val="28"/>
          <w:szCs w:val="28"/>
        </w:rPr>
      </w:pPr>
      <w:r w:rsidRPr="00BA6426">
        <w:rPr>
          <w:rFonts w:ascii="Open Sans" w:hAnsi="Open Sans" w:cs="Open Sans"/>
          <w:color w:val="0099A0"/>
          <w:sz w:val="28"/>
          <w:szCs w:val="28"/>
        </w:rPr>
        <w:t>Triggers for suspension</w:t>
      </w:r>
    </w:p>
    <w:p w14:paraId="7D5BC8FA" w14:textId="0366CB7E" w:rsidR="000A1AE7" w:rsidRPr="000A1AE7" w:rsidRDefault="00BE5AC3" w:rsidP="000A1AE7">
      <w:r>
        <w:rPr>
          <w:rFonts w:ascii="Open Sans" w:hAnsi="Open Sans" w:cs="Open Sans"/>
          <w:color w:val="002060"/>
        </w:rPr>
        <w:t xml:space="preserve">The table </w:t>
      </w:r>
      <w:r w:rsidR="00A8237B">
        <w:rPr>
          <w:rFonts w:ascii="Open Sans" w:hAnsi="Open Sans" w:cs="Open Sans"/>
          <w:color w:val="002060"/>
        </w:rPr>
        <w:t>at A</w:t>
      </w:r>
      <w:r w:rsidR="00C36DF7">
        <w:rPr>
          <w:rFonts w:ascii="Open Sans" w:hAnsi="Open Sans" w:cs="Open Sans"/>
          <w:color w:val="002060"/>
        </w:rPr>
        <w:t xml:space="preserve">ppendix A </w:t>
      </w:r>
      <w:r w:rsidR="00845675">
        <w:rPr>
          <w:rFonts w:ascii="Open Sans" w:hAnsi="Open Sans" w:cs="Open Sans"/>
          <w:color w:val="002060"/>
        </w:rPr>
        <w:t xml:space="preserve">sets out the trigger for suspending providers. </w:t>
      </w:r>
      <w:r w:rsidR="0078236D">
        <w:rPr>
          <w:rFonts w:ascii="Open Sans" w:hAnsi="Open Sans" w:cs="Open Sans"/>
          <w:color w:val="002060"/>
        </w:rPr>
        <w:t xml:space="preserve"> </w:t>
      </w:r>
    </w:p>
    <w:p w14:paraId="225D59BA" w14:textId="1C16334E" w:rsidR="006547D7" w:rsidRPr="008462B2" w:rsidRDefault="006547D7" w:rsidP="008462B2">
      <w:pPr>
        <w:pStyle w:val="Heading1"/>
        <w:spacing w:after="240" w:line="276" w:lineRule="auto"/>
        <w:rPr>
          <w:rFonts w:ascii="Open Sans" w:hAnsi="Open Sans" w:cs="Open Sans"/>
          <w:color w:val="0099A0"/>
          <w:sz w:val="28"/>
          <w:szCs w:val="28"/>
        </w:rPr>
      </w:pPr>
      <w:r w:rsidRPr="008462B2">
        <w:rPr>
          <w:rFonts w:ascii="Open Sans" w:hAnsi="Open Sans" w:cs="Open Sans"/>
          <w:color w:val="0099A0"/>
          <w:sz w:val="28"/>
          <w:szCs w:val="28"/>
        </w:rPr>
        <w:t xml:space="preserve">Suspension procedure </w:t>
      </w:r>
    </w:p>
    <w:p w14:paraId="122D83F3" w14:textId="570BF5ED" w:rsidR="006547D7" w:rsidRDefault="006547D7" w:rsidP="006547D7">
      <w:pPr>
        <w:spacing w:after="240" w:line="276" w:lineRule="auto"/>
        <w:rPr>
          <w:rFonts w:ascii="Open Sans" w:hAnsi="Open Sans" w:cs="Open Sans"/>
          <w:color w:val="002060"/>
        </w:rPr>
      </w:pPr>
      <w:r>
        <w:rPr>
          <w:rFonts w:ascii="Open Sans" w:hAnsi="Open Sans" w:cs="Open Sans"/>
          <w:color w:val="002060"/>
        </w:rPr>
        <w:t xml:space="preserve">The process for suspending </w:t>
      </w:r>
      <w:r w:rsidR="005D1DD8">
        <w:rPr>
          <w:rFonts w:ascii="Open Sans" w:hAnsi="Open Sans" w:cs="Open Sans"/>
          <w:color w:val="002060"/>
        </w:rPr>
        <w:t>providers from the contract will be as below:</w:t>
      </w:r>
    </w:p>
    <w:p w14:paraId="64D08EFF" w14:textId="3EA61D0D" w:rsidR="00795B73" w:rsidRDefault="008462B2" w:rsidP="006547D7">
      <w:pPr>
        <w:spacing w:after="240" w:line="276" w:lineRule="auto"/>
        <w:rPr>
          <w:rFonts w:ascii="Open Sans" w:hAnsi="Open Sans" w:cs="Open Sans"/>
          <w:color w:val="002060"/>
        </w:rPr>
      </w:pPr>
      <w:r w:rsidRPr="0048135A">
        <w:rPr>
          <w:rFonts w:ascii="Open Sans" w:hAnsi="Open Sans" w:cs="Open Sans"/>
          <w:b/>
          <w:bCs/>
          <w:color w:val="002060"/>
        </w:rPr>
        <w:t xml:space="preserve">Stage 1: </w:t>
      </w:r>
      <w:r w:rsidR="005A25CA" w:rsidRPr="0048135A">
        <w:rPr>
          <w:rFonts w:ascii="Open Sans" w:hAnsi="Open Sans" w:cs="Open Sans"/>
          <w:b/>
          <w:bCs/>
          <w:color w:val="002060"/>
        </w:rPr>
        <w:t xml:space="preserve">Email </w:t>
      </w:r>
      <w:r w:rsidR="002931ED" w:rsidRPr="0048135A">
        <w:rPr>
          <w:rFonts w:ascii="Open Sans" w:hAnsi="Open Sans" w:cs="Open Sans"/>
          <w:b/>
          <w:bCs/>
          <w:color w:val="002060"/>
        </w:rPr>
        <w:t>reiterating original reques</w:t>
      </w:r>
      <w:r w:rsidR="00795B73" w:rsidRPr="0048135A">
        <w:rPr>
          <w:rFonts w:ascii="Open Sans" w:hAnsi="Open Sans" w:cs="Open Sans"/>
          <w:b/>
          <w:bCs/>
          <w:color w:val="002060"/>
        </w:rPr>
        <w:t>t.</w:t>
      </w:r>
      <w:r w:rsidR="00795B73">
        <w:rPr>
          <w:rFonts w:ascii="Open Sans" w:hAnsi="Open Sans" w:cs="Open Sans"/>
          <w:color w:val="002060"/>
        </w:rPr>
        <w:t xml:space="preserve"> T</w:t>
      </w:r>
      <w:r w:rsidR="005F26C8">
        <w:rPr>
          <w:rFonts w:ascii="Open Sans" w:hAnsi="Open Sans" w:cs="Open Sans"/>
          <w:color w:val="002060"/>
        </w:rPr>
        <w:t xml:space="preserve">his follows there being no satisfactory </w:t>
      </w:r>
      <w:r w:rsidR="001D1D36">
        <w:rPr>
          <w:rFonts w:ascii="Open Sans" w:hAnsi="Open Sans" w:cs="Open Sans"/>
          <w:color w:val="002060"/>
        </w:rPr>
        <w:t>response to the original request and</w:t>
      </w:r>
      <w:r w:rsidR="00795B73">
        <w:rPr>
          <w:rFonts w:ascii="Open Sans" w:hAnsi="Open Sans" w:cs="Open Sans"/>
          <w:color w:val="002060"/>
        </w:rPr>
        <w:t xml:space="preserve"> will be no less tha</w:t>
      </w:r>
      <w:r w:rsidR="00B001D7">
        <w:rPr>
          <w:rFonts w:ascii="Open Sans" w:hAnsi="Open Sans" w:cs="Open Sans"/>
          <w:color w:val="002060"/>
        </w:rPr>
        <w:t>n</w:t>
      </w:r>
      <w:r w:rsidR="00795B73">
        <w:rPr>
          <w:rFonts w:ascii="Open Sans" w:hAnsi="Open Sans" w:cs="Open Sans"/>
          <w:color w:val="002060"/>
        </w:rPr>
        <w:t xml:space="preserve"> two weeks following the original request. </w:t>
      </w:r>
      <w:r w:rsidR="001D1D36">
        <w:rPr>
          <w:rFonts w:ascii="Open Sans" w:hAnsi="Open Sans" w:cs="Open Sans"/>
          <w:color w:val="002060"/>
        </w:rPr>
        <w:t xml:space="preserve">This message will give warning of </w:t>
      </w:r>
      <w:r w:rsidR="00E60C12">
        <w:rPr>
          <w:rFonts w:ascii="Open Sans" w:hAnsi="Open Sans" w:cs="Open Sans"/>
          <w:color w:val="002060"/>
        </w:rPr>
        <w:t>Information Sharing Protocol notification (</w:t>
      </w:r>
      <w:r w:rsidR="001D1D36">
        <w:rPr>
          <w:rFonts w:ascii="Open Sans" w:hAnsi="Open Sans" w:cs="Open Sans"/>
          <w:color w:val="002060"/>
        </w:rPr>
        <w:t>ISP</w:t>
      </w:r>
      <w:r w:rsidR="00E60C12">
        <w:rPr>
          <w:rFonts w:ascii="Open Sans" w:hAnsi="Open Sans" w:cs="Open Sans"/>
          <w:color w:val="002060"/>
        </w:rPr>
        <w:t>)</w:t>
      </w:r>
      <w:r w:rsidR="00E60C12">
        <w:rPr>
          <w:rStyle w:val="FootnoteReference"/>
          <w:rFonts w:ascii="Open Sans" w:hAnsi="Open Sans" w:cs="Open Sans"/>
          <w:color w:val="002060"/>
        </w:rPr>
        <w:footnoteReference w:id="2"/>
      </w:r>
      <w:r w:rsidR="001D1D36">
        <w:rPr>
          <w:rFonts w:ascii="Open Sans" w:hAnsi="Open Sans" w:cs="Open Sans"/>
          <w:color w:val="002060"/>
        </w:rPr>
        <w:t xml:space="preserve"> to be issued.</w:t>
      </w:r>
      <w:r w:rsidR="00475D86">
        <w:rPr>
          <w:rFonts w:ascii="Open Sans" w:hAnsi="Open Sans" w:cs="Open Sans"/>
          <w:color w:val="002060"/>
        </w:rPr>
        <w:t xml:space="preserve"> This is sent to the organisation and referral </w:t>
      </w:r>
      <w:r w:rsidR="008C1403">
        <w:rPr>
          <w:rFonts w:ascii="Open Sans" w:hAnsi="Open Sans" w:cs="Open Sans"/>
          <w:color w:val="002060"/>
        </w:rPr>
        <w:t xml:space="preserve">email contacts. </w:t>
      </w:r>
    </w:p>
    <w:p w14:paraId="3D015EDA" w14:textId="0CDB78F5" w:rsidR="002931ED" w:rsidRDefault="002931ED" w:rsidP="006547D7">
      <w:pPr>
        <w:spacing w:after="240" w:line="276" w:lineRule="auto"/>
        <w:rPr>
          <w:rFonts w:ascii="Open Sans" w:hAnsi="Open Sans" w:cs="Open Sans"/>
          <w:color w:val="002060"/>
        </w:rPr>
      </w:pPr>
      <w:r w:rsidRPr="0048135A">
        <w:rPr>
          <w:rFonts w:ascii="Open Sans" w:hAnsi="Open Sans" w:cs="Open Sans"/>
          <w:b/>
          <w:bCs/>
          <w:color w:val="002060"/>
        </w:rPr>
        <w:t xml:space="preserve">Stage </w:t>
      </w:r>
      <w:r w:rsidR="001D1D36" w:rsidRPr="0048135A">
        <w:rPr>
          <w:rFonts w:ascii="Open Sans" w:hAnsi="Open Sans" w:cs="Open Sans"/>
          <w:b/>
          <w:bCs/>
          <w:color w:val="002060"/>
        </w:rPr>
        <w:t>2</w:t>
      </w:r>
      <w:r w:rsidRPr="0048135A">
        <w:rPr>
          <w:rFonts w:ascii="Open Sans" w:hAnsi="Open Sans" w:cs="Open Sans"/>
          <w:b/>
          <w:bCs/>
          <w:color w:val="002060"/>
        </w:rPr>
        <w:t xml:space="preserve">: </w:t>
      </w:r>
      <w:r w:rsidR="00996908" w:rsidRPr="0048135A">
        <w:rPr>
          <w:rFonts w:ascii="Open Sans" w:hAnsi="Open Sans" w:cs="Open Sans"/>
          <w:b/>
          <w:bCs/>
          <w:color w:val="002060"/>
        </w:rPr>
        <w:t>ISP issued</w:t>
      </w:r>
      <w:r w:rsidR="009113B6" w:rsidRPr="0048135A">
        <w:rPr>
          <w:rFonts w:ascii="Open Sans" w:hAnsi="Open Sans" w:cs="Open Sans"/>
          <w:b/>
          <w:bCs/>
          <w:color w:val="002060"/>
        </w:rPr>
        <w:t>.</w:t>
      </w:r>
      <w:r w:rsidR="009113B6" w:rsidRPr="009113B6">
        <w:rPr>
          <w:rFonts w:ascii="Open Sans" w:hAnsi="Open Sans" w:cs="Open Sans"/>
          <w:color w:val="002060"/>
        </w:rPr>
        <w:t xml:space="preserve"> </w:t>
      </w:r>
      <w:r w:rsidR="009113B6">
        <w:rPr>
          <w:rFonts w:ascii="Open Sans" w:hAnsi="Open Sans" w:cs="Open Sans"/>
          <w:color w:val="002060"/>
        </w:rPr>
        <w:t>This will be no less than two weeks following the request at Stage 2.</w:t>
      </w:r>
      <w:r w:rsidR="00E60C12">
        <w:rPr>
          <w:rFonts w:ascii="Open Sans" w:hAnsi="Open Sans" w:cs="Open Sans"/>
          <w:color w:val="002060"/>
        </w:rPr>
        <w:t xml:space="preserve"> </w:t>
      </w:r>
    </w:p>
    <w:p w14:paraId="6839B61D" w14:textId="3CC88E45" w:rsidR="00463EBD" w:rsidRDefault="00996908" w:rsidP="00463EBD">
      <w:pPr>
        <w:spacing w:after="240" w:line="276" w:lineRule="auto"/>
        <w:rPr>
          <w:rFonts w:ascii="Open Sans" w:hAnsi="Open Sans" w:cs="Open Sans"/>
          <w:b/>
          <w:bCs/>
          <w:color w:val="002060"/>
        </w:rPr>
      </w:pPr>
      <w:r w:rsidRPr="0048135A">
        <w:rPr>
          <w:rFonts w:ascii="Open Sans" w:hAnsi="Open Sans" w:cs="Open Sans"/>
          <w:b/>
          <w:bCs/>
          <w:color w:val="002060"/>
        </w:rPr>
        <w:lastRenderedPageBreak/>
        <w:t xml:space="preserve">Stage </w:t>
      </w:r>
      <w:r w:rsidR="001D1D36" w:rsidRPr="0048135A">
        <w:rPr>
          <w:rFonts w:ascii="Open Sans" w:hAnsi="Open Sans" w:cs="Open Sans"/>
          <w:b/>
          <w:bCs/>
          <w:color w:val="002060"/>
        </w:rPr>
        <w:t>3</w:t>
      </w:r>
      <w:r w:rsidRPr="0048135A">
        <w:rPr>
          <w:rFonts w:ascii="Open Sans" w:hAnsi="Open Sans" w:cs="Open Sans"/>
          <w:b/>
          <w:bCs/>
          <w:color w:val="002060"/>
        </w:rPr>
        <w:t>: Suspension notice issued</w:t>
      </w:r>
      <w:r w:rsidR="003F3C91">
        <w:rPr>
          <w:rFonts w:ascii="Open Sans" w:hAnsi="Open Sans" w:cs="Open Sans"/>
          <w:b/>
          <w:bCs/>
          <w:color w:val="002060"/>
        </w:rPr>
        <w:t xml:space="preserve">. </w:t>
      </w:r>
      <w:r w:rsidR="003F3C91" w:rsidRPr="003F3C91">
        <w:rPr>
          <w:rFonts w:ascii="Open Sans" w:hAnsi="Open Sans" w:cs="Open Sans"/>
          <w:color w:val="002060"/>
        </w:rPr>
        <w:t>This will mean that referrals are</w:t>
      </w:r>
      <w:r w:rsidRPr="003F3C91">
        <w:rPr>
          <w:rFonts w:ascii="Open Sans" w:hAnsi="Open Sans" w:cs="Open Sans"/>
          <w:color w:val="002060"/>
        </w:rPr>
        <w:t xml:space="preserve"> no longer received</w:t>
      </w:r>
      <w:r w:rsidR="00A47F34">
        <w:rPr>
          <w:rFonts w:ascii="Open Sans" w:hAnsi="Open Sans" w:cs="Open Sans"/>
          <w:color w:val="002060"/>
        </w:rPr>
        <w:t>,</w:t>
      </w:r>
      <w:r w:rsidR="005978AD">
        <w:rPr>
          <w:rFonts w:ascii="Open Sans" w:hAnsi="Open Sans" w:cs="Open Sans"/>
          <w:color w:val="002060"/>
        </w:rPr>
        <w:t xml:space="preserve"> and any placements made are off contract</w:t>
      </w:r>
      <w:r w:rsidR="0048135A" w:rsidRPr="003F3C91">
        <w:rPr>
          <w:rFonts w:ascii="Open Sans" w:hAnsi="Open Sans" w:cs="Open Sans"/>
          <w:color w:val="002060"/>
        </w:rPr>
        <w:t>.</w:t>
      </w:r>
      <w:r w:rsidR="005978AD">
        <w:rPr>
          <w:rFonts w:ascii="Open Sans" w:hAnsi="Open Sans" w:cs="Open Sans"/>
          <w:b/>
          <w:bCs/>
          <w:color w:val="002060"/>
        </w:rPr>
        <w:t xml:space="preserve"> </w:t>
      </w:r>
      <w:r w:rsidR="005978AD" w:rsidRPr="00BA6426">
        <w:rPr>
          <w:rFonts w:ascii="Open Sans" w:hAnsi="Open Sans" w:cs="Open Sans"/>
          <w:color w:val="002060"/>
        </w:rPr>
        <w:t>This will cover a</w:t>
      </w:r>
      <w:r w:rsidR="00BA6426">
        <w:rPr>
          <w:rFonts w:ascii="Open Sans" w:hAnsi="Open Sans" w:cs="Open Sans"/>
          <w:color w:val="002060"/>
        </w:rPr>
        <w:t>ll</w:t>
      </w:r>
      <w:r w:rsidR="005978AD" w:rsidRPr="00BA6426">
        <w:rPr>
          <w:rFonts w:ascii="Open Sans" w:hAnsi="Open Sans" w:cs="Open Sans"/>
          <w:color w:val="002060"/>
        </w:rPr>
        <w:t xml:space="preserve"> contract the provider </w:t>
      </w:r>
      <w:r w:rsidR="00BA6426" w:rsidRPr="00BA6426">
        <w:rPr>
          <w:rFonts w:ascii="Open Sans" w:hAnsi="Open Sans" w:cs="Open Sans"/>
          <w:color w:val="002060"/>
        </w:rPr>
        <w:t>is on</w:t>
      </w:r>
      <w:r w:rsidR="00BA6426">
        <w:rPr>
          <w:rFonts w:ascii="Open Sans" w:hAnsi="Open Sans" w:cs="Open Sans"/>
          <w:color w:val="002060"/>
        </w:rPr>
        <w:t xml:space="preserve"> as outlined below</w:t>
      </w:r>
      <w:r w:rsidR="00A47F34">
        <w:rPr>
          <w:rFonts w:ascii="Open Sans" w:hAnsi="Open Sans" w:cs="Open Sans"/>
          <w:color w:val="002060"/>
        </w:rPr>
        <w:t xml:space="preserve">. Suspension notices will be sent via email and the Chest messaging function. </w:t>
      </w:r>
    </w:p>
    <w:p w14:paraId="64559E75" w14:textId="1B7D1E4C" w:rsidR="005978AD" w:rsidRDefault="005978AD" w:rsidP="005978AD">
      <w:pPr>
        <w:pStyle w:val="Heading1"/>
        <w:spacing w:after="240" w:line="276" w:lineRule="auto"/>
        <w:rPr>
          <w:rFonts w:ascii="Open Sans" w:hAnsi="Open Sans" w:cs="Open Sans"/>
          <w:color w:val="0099A0"/>
          <w:sz w:val="28"/>
          <w:szCs w:val="28"/>
        </w:rPr>
      </w:pPr>
      <w:r w:rsidRPr="005978AD">
        <w:rPr>
          <w:rFonts w:ascii="Open Sans" w:hAnsi="Open Sans" w:cs="Open Sans"/>
          <w:color w:val="0099A0"/>
          <w:sz w:val="28"/>
          <w:szCs w:val="28"/>
        </w:rPr>
        <w:t>Procedure for reinstatement</w:t>
      </w:r>
    </w:p>
    <w:p w14:paraId="6F0F8901" w14:textId="1E029FD1" w:rsidR="00A47F34" w:rsidRDefault="00A47F34" w:rsidP="00A47F34">
      <w:pPr>
        <w:spacing w:after="240" w:line="276" w:lineRule="auto"/>
        <w:rPr>
          <w:rFonts w:ascii="Open Sans" w:hAnsi="Open Sans" w:cs="Open Sans"/>
          <w:color w:val="002060"/>
        </w:rPr>
      </w:pPr>
      <w:r>
        <w:rPr>
          <w:rFonts w:ascii="Open Sans" w:hAnsi="Open Sans" w:cs="Open Sans"/>
          <w:color w:val="002060"/>
        </w:rPr>
        <w:t>The process for reinstating providers from the contract will be as below:</w:t>
      </w:r>
    </w:p>
    <w:p w14:paraId="21B5E7B0" w14:textId="1715519B" w:rsidR="00A47F34" w:rsidRPr="00AE439E" w:rsidRDefault="00A47F34" w:rsidP="00AE439E">
      <w:pPr>
        <w:pStyle w:val="ListParagraph"/>
        <w:numPr>
          <w:ilvl w:val="0"/>
          <w:numId w:val="37"/>
        </w:numPr>
        <w:spacing w:after="240" w:line="276" w:lineRule="auto"/>
        <w:rPr>
          <w:rFonts w:ascii="Open Sans" w:hAnsi="Open Sans" w:cs="Open Sans"/>
          <w:color w:val="002060"/>
        </w:rPr>
      </w:pPr>
      <w:r w:rsidRPr="00AE439E">
        <w:rPr>
          <w:rFonts w:ascii="Open Sans" w:hAnsi="Open Sans" w:cs="Open Sans"/>
          <w:color w:val="002060"/>
        </w:rPr>
        <w:t>Resolution of the original issue.</w:t>
      </w:r>
    </w:p>
    <w:p w14:paraId="281B5F10" w14:textId="5ED392FC" w:rsidR="00A47F34" w:rsidRPr="00AE439E" w:rsidRDefault="00AE439E" w:rsidP="00AE439E">
      <w:pPr>
        <w:pStyle w:val="ListParagraph"/>
        <w:numPr>
          <w:ilvl w:val="0"/>
          <w:numId w:val="37"/>
        </w:numPr>
        <w:spacing w:after="240" w:line="276" w:lineRule="auto"/>
        <w:rPr>
          <w:rFonts w:ascii="Open Sans" w:hAnsi="Open Sans" w:cs="Open Sans"/>
          <w:color w:val="002060"/>
        </w:rPr>
      </w:pPr>
      <w:r w:rsidRPr="00AE439E">
        <w:rPr>
          <w:rFonts w:ascii="Open Sans" w:hAnsi="Open Sans" w:cs="Open Sans"/>
          <w:color w:val="002060"/>
        </w:rPr>
        <w:t xml:space="preserve">Reinstatement notice issued. </w:t>
      </w:r>
      <w:r w:rsidR="00C632B6">
        <w:rPr>
          <w:rFonts w:ascii="Open Sans" w:hAnsi="Open Sans" w:cs="Open Sans"/>
          <w:color w:val="002060"/>
        </w:rPr>
        <w:t xml:space="preserve">This </w:t>
      </w:r>
      <w:r w:rsidR="003F1129">
        <w:rPr>
          <w:rFonts w:ascii="Open Sans" w:hAnsi="Open Sans" w:cs="Open Sans"/>
          <w:color w:val="002060"/>
        </w:rPr>
        <w:t>will be no more than two weeks following the resolution.</w:t>
      </w:r>
    </w:p>
    <w:p w14:paraId="40F4451D" w14:textId="4D404428" w:rsidR="00AE439E" w:rsidRDefault="00AE439E" w:rsidP="00AE439E">
      <w:pPr>
        <w:pStyle w:val="ListParagraph"/>
        <w:numPr>
          <w:ilvl w:val="0"/>
          <w:numId w:val="37"/>
        </w:numPr>
        <w:spacing w:after="240" w:line="276" w:lineRule="auto"/>
        <w:rPr>
          <w:rFonts w:ascii="Open Sans" w:hAnsi="Open Sans" w:cs="Open Sans"/>
          <w:color w:val="002060"/>
        </w:rPr>
      </w:pPr>
      <w:r w:rsidRPr="00AE439E">
        <w:rPr>
          <w:rFonts w:ascii="Open Sans" w:hAnsi="Open Sans" w:cs="Open Sans"/>
          <w:color w:val="002060"/>
        </w:rPr>
        <w:t>Provider added back on the referral list for local authorities from the 1</w:t>
      </w:r>
      <w:r w:rsidRPr="00AE439E">
        <w:rPr>
          <w:rFonts w:ascii="Open Sans" w:hAnsi="Open Sans" w:cs="Open Sans"/>
          <w:color w:val="002060"/>
          <w:vertAlign w:val="superscript"/>
        </w:rPr>
        <w:t>st</w:t>
      </w:r>
      <w:r w:rsidRPr="00AE439E">
        <w:rPr>
          <w:rFonts w:ascii="Open Sans" w:hAnsi="Open Sans" w:cs="Open Sans"/>
          <w:color w:val="002060"/>
        </w:rPr>
        <w:t xml:space="preserve"> of the following month. </w:t>
      </w:r>
    </w:p>
    <w:p w14:paraId="1A28C916" w14:textId="01557261" w:rsidR="00652AFB" w:rsidRPr="00C632B6" w:rsidRDefault="00652AFB" w:rsidP="00C632B6">
      <w:pPr>
        <w:pStyle w:val="Heading1"/>
        <w:spacing w:after="240" w:line="276" w:lineRule="auto"/>
        <w:rPr>
          <w:rFonts w:ascii="Open Sans" w:hAnsi="Open Sans" w:cs="Open Sans"/>
          <w:color w:val="0099A0"/>
          <w:sz w:val="28"/>
          <w:szCs w:val="28"/>
        </w:rPr>
      </w:pPr>
      <w:r w:rsidRPr="00C632B6">
        <w:rPr>
          <w:rFonts w:ascii="Open Sans" w:hAnsi="Open Sans" w:cs="Open Sans"/>
          <w:color w:val="0099A0"/>
          <w:sz w:val="28"/>
          <w:szCs w:val="28"/>
        </w:rPr>
        <w:t>FAQs</w:t>
      </w:r>
    </w:p>
    <w:p w14:paraId="054988D8" w14:textId="7C5D99F5" w:rsidR="00DB0E67" w:rsidRDefault="00652AFB" w:rsidP="00652AFB">
      <w:pPr>
        <w:spacing w:after="240" w:line="276" w:lineRule="auto"/>
        <w:rPr>
          <w:rFonts w:ascii="Open Sans" w:hAnsi="Open Sans" w:cs="Open Sans"/>
          <w:color w:val="002060"/>
        </w:rPr>
      </w:pPr>
      <w:r w:rsidRPr="00F77928">
        <w:rPr>
          <w:rFonts w:ascii="Open Sans" w:hAnsi="Open Sans" w:cs="Open Sans"/>
          <w:i/>
          <w:iCs/>
          <w:color w:val="002060"/>
        </w:rPr>
        <w:t xml:space="preserve">What if I have received a suspension notice for not submitting insurance but </w:t>
      </w:r>
      <w:r w:rsidR="00DB0E67" w:rsidRPr="00F77928">
        <w:rPr>
          <w:rFonts w:ascii="Open Sans" w:hAnsi="Open Sans" w:cs="Open Sans"/>
          <w:i/>
          <w:iCs/>
          <w:color w:val="002060"/>
        </w:rPr>
        <w:t>have also not submitted my annual checklist?</w:t>
      </w:r>
      <w:r w:rsidR="00DB0E67">
        <w:rPr>
          <w:rFonts w:ascii="Open Sans" w:hAnsi="Open Sans" w:cs="Open Sans"/>
          <w:color w:val="002060"/>
        </w:rPr>
        <w:t xml:space="preserve"> </w:t>
      </w:r>
      <w:r w:rsidR="008E78DE">
        <w:rPr>
          <w:rFonts w:ascii="Open Sans" w:hAnsi="Open Sans" w:cs="Open Sans"/>
          <w:color w:val="002060"/>
        </w:rPr>
        <w:t xml:space="preserve">When ISPs are issued the requirements for closure may include multiple issues, for example </w:t>
      </w:r>
      <w:r w:rsidR="00311E37">
        <w:rPr>
          <w:rFonts w:ascii="Open Sans" w:hAnsi="Open Sans" w:cs="Open Sans"/>
          <w:color w:val="002060"/>
        </w:rPr>
        <w:t xml:space="preserve">needing to submit insurance certificates, complete the annual checklist and submit documents for the Transitional Monitoring Assessment. This will reduce </w:t>
      </w:r>
      <w:r w:rsidR="00F77928">
        <w:rPr>
          <w:rFonts w:ascii="Open Sans" w:hAnsi="Open Sans" w:cs="Open Sans"/>
          <w:color w:val="002060"/>
        </w:rPr>
        <w:t xml:space="preserve">the administrative burden for the provider. </w:t>
      </w:r>
    </w:p>
    <w:p w14:paraId="41C395F7" w14:textId="7DCDA1FF" w:rsidR="00F77928" w:rsidRPr="00652AFB" w:rsidRDefault="00CF73D9" w:rsidP="00652AFB">
      <w:pPr>
        <w:spacing w:after="240" w:line="276" w:lineRule="auto"/>
        <w:rPr>
          <w:rFonts w:ascii="Open Sans" w:hAnsi="Open Sans" w:cs="Open Sans"/>
          <w:color w:val="002060"/>
        </w:rPr>
      </w:pPr>
      <w:r w:rsidRPr="00CF73D9">
        <w:rPr>
          <w:rFonts w:ascii="Open Sans" w:hAnsi="Open Sans" w:cs="Open Sans"/>
          <w:i/>
          <w:iCs/>
          <w:color w:val="002060"/>
        </w:rPr>
        <w:t>Why</w:t>
      </w:r>
      <w:r w:rsidR="00F77928" w:rsidRPr="00CF73D9">
        <w:rPr>
          <w:rFonts w:ascii="Open Sans" w:hAnsi="Open Sans" w:cs="Open Sans"/>
          <w:i/>
          <w:iCs/>
          <w:color w:val="002060"/>
        </w:rPr>
        <w:t xml:space="preserve"> I haven’t </w:t>
      </w:r>
      <w:r>
        <w:rPr>
          <w:rFonts w:ascii="Open Sans" w:hAnsi="Open Sans" w:cs="Open Sans"/>
          <w:i/>
          <w:iCs/>
          <w:color w:val="002060"/>
        </w:rPr>
        <w:t xml:space="preserve">I </w:t>
      </w:r>
      <w:r w:rsidR="00F77928" w:rsidRPr="00CF73D9">
        <w:rPr>
          <w:rFonts w:ascii="Open Sans" w:hAnsi="Open Sans" w:cs="Open Sans"/>
          <w:i/>
          <w:iCs/>
          <w:color w:val="002060"/>
        </w:rPr>
        <w:t>received the original request or notices?</w:t>
      </w:r>
      <w:r w:rsidR="00F77928">
        <w:rPr>
          <w:rFonts w:ascii="Open Sans" w:hAnsi="Open Sans" w:cs="Open Sans"/>
          <w:color w:val="002060"/>
        </w:rPr>
        <w:t xml:space="preserve"> It is the provider responsibility to ensure that contact details are up to date on the Chest and in our email. </w:t>
      </w:r>
    </w:p>
    <w:p w14:paraId="2A973963" w14:textId="3B696D86" w:rsidR="00F75DC6" w:rsidRDefault="003854C5" w:rsidP="003854C5">
      <w:pPr>
        <w:spacing w:after="240" w:line="276" w:lineRule="auto"/>
        <w:rPr>
          <w:rFonts w:ascii="Open Sans" w:hAnsi="Open Sans" w:cs="Open Sans"/>
          <w:color w:val="002060"/>
        </w:rPr>
      </w:pPr>
      <w:r w:rsidRPr="003854C5">
        <w:rPr>
          <w:rFonts w:ascii="Open Sans" w:hAnsi="Open Sans" w:cs="Open Sans"/>
          <w:i/>
          <w:iCs/>
          <w:color w:val="002060"/>
        </w:rPr>
        <w:t>Why will placing authorities only be updated on 1st of each month?</w:t>
      </w:r>
      <w:r w:rsidRPr="003854C5">
        <w:rPr>
          <w:rFonts w:ascii="Open Sans" w:hAnsi="Open Sans" w:cs="Open Sans"/>
          <w:color w:val="002060"/>
        </w:rPr>
        <w:t xml:space="preserve"> We issue updated spreadsheets on the 1st of every month and </w:t>
      </w:r>
      <w:r w:rsidR="00F75DC6">
        <w:rPr>
          <w:rFonts w:ascii="Open Sans" w:hAnsi="Open Sans" w:cs="Open Sans"/>
          <w:color w:val="002060"/>
        </w:rPr>
        <w:t xml:space="preserve">do not have capacity to update more regularly. </w:t>
      </w:r>
    </w:p>
    <w:p w14:paraId="276E6DB5" w14:textId="3204DA16" w:rsidR="00F75DC6" w:rsidRDefault="00F75DC6" w:rsidP="003854C5">
      <w:pPr>
        <w:spacing w:after="240" w:line="276" w:lineRule="auto"/>
        <w:rPr>
          <w:rFonts w:ascii="Open Sans" w:hAnsi="Open Sans" w:cs="Open Sans"/>
          <w:color w:val="002060"/>
        </w:rPr>
      </w:pPr>
      <w:r w:rsidRPr="00F75DC6">
        <w:rPr>
          <w:rFonts w:ascii="Open Sans" w:hAnsi="Open Sans" w:cs="Open Sans"/>
          <w:i/>
          <w:iCs/>
          <w:color w:val="002060"/>
        </w:rPr>
        <w:t xml:space="preserve">I’ve shared insurance certificates with placing authorities why do I need to share this with you? </w:t>
      </w:r>
      <w:r>
        <w:rPr>
          <w:rFonts w:ascii="Open Sans" w:hAnsi="Open Sans" w:cs="Open Sans"/>
          <w:color w:val="002060"/>
        </w:rPr>
        <w:t xml:space="preserve">Is it a requirement of being on the regional purchasing system to share up to date insurance at the required levels with us. We then make this available for placing authorities to reduce duplication. </w:t>
      </w:r>
    </w:p>
    <w:p w14:paraId="243B1778" w14:textId="03A6028D" w:rsidR="00045B48" w:rsidRDefault="00045B48" w:rsidP="00FA637F">
      <w:pPr>
        <w:spacing w:after="240" w:line="276" w:lineRule="auto"/>
        <w:rPr>
          <w:rFonts w:ascii="Open Sans" w:hAnsi="Open Sans" w:cs="Open Sans"/>
          <w:color w:val="002060"/>
        </w:rPr>
      </w:pPr>
      <w:r w:rsidRPr="00FA637F">
        <w:rPr>
          <w:rFonts w:ascii="Open Sans" w:hAnsi="Open Sans" w:cs="Open Sans"/>
          <w:i/>
          <w:iCs/>
          <w:color w:val="002060"/>
        </w:rPr>
        <w:t>Why do Supported Accommodation providers need to submit documents for the Transitional Monitoring Assessment (TMA) now we’re regulated?</w:t>
      </w:r>
      <w:r w:rsidRPr="00FA637F">
        <w:rPr>
          <w:rFonts w:ascii="Open Sans" w:hAnsi="Open Sans" w:cs="Open Sans"/>
          <w:color w:val="002060"/>
        </w:rPr>
        <w:t xml:space="preserve"> The TMAs are in place whilst </w:t>
      </w:r>
      <w:r w:rsidR="00036456" w:rsidRPr="00FA637F">
        <w:rPr>
          <w:rFonts w:ascii="Open Sans" w:hAnsi="Open Sans" w:cs="Open Sans"/>
          <w:color w:val="002060"/>
        </w:rPr>
        <w:t>the Ofsted inspection regime is established and is under regular review. Providers who have received an inspection outcome of</w:t>
      </w:r>
      <w:r w:rsidR="00FA637F" w:rsidRPr="00FA637F">
        <w:rPr>
          <w:rFonts w:ascii="Open Sans" w:hAnsi="Open Sans" w:cs="Open Sans"/>
          <w:color w:val="002060"/>
        </w:rPr>
        <w:t xml:space="preserve"> </w:t>
      </w:r>
      <w:r w:rsidR="00D014F6" w:rsidRPr="00FA637F">
        <w:rPr>
          <w:rFonts w:ascii="Open Sans" w:hAnsi="Open Sans" w:cs="Open Sans"/>
          <w:color w:val="002060"/>
        </w:rPr>
        <w:t>Outcome</w:t>
      </w:r>
      <w:r w:rsidR="00D014F6" w:rsidRPr="00D014F6">
        <w:rPr>
          <w:rFonts w:ascii="Open Sans" w:hAnsi="Open Sans" w:cs="Open Sans"/>
          <w:color w:val="002060"/>
        </w:rPr>
        <w:t xml:space="preserve"> 3 – Serious or widespread weaknesses lead to significant concerns about the experiences and progress of children</w:t>
      </w:r>
      <w:r w:rsidR="00C74E31">
        <w:rPr>
          <w:rFonts w:ascii="Open Sans" w:hAnsi="Open Sans" w:cs="Open Sans"/>
          <w:color w:val="002060"/>
        </w:rPr>
        <w:t xml:space="preserve"> will be suspended under the contract terms and conditions. </w:t>
      </w:r>
    </w:p>
    <w:p w14:paraId="1BD1DE0E" w14:textId="677E6611" w:rsidR="003865BC" w:rsidRDefault="003865BC" w:rsidP="00FA637F">
      <w:pPr>
        <w:spacing w:after="240" w:line="276" w:lineRule="auto"/>
        <w:rPr>
          <w:rFonts w:ascii="Open Sans" w:hAnsi="Open Sans" w:cs="Open Sans"/>
          <w:color w:val="002060"/>
        </w:rPr>
      </w:pPr>
      <w:r w:rsidRPr="003865BC">
        <w:rPr>
          <w:rFonts w:ascii="Open Sans" w:hAnsi="Open Sans" w:cs="Open Sans"/>
          <w:i/>
          <w:iCs/>
          <w:color w:val="002060"/>
        </w:rPr>
        <w:t>Why am I still being asked for insurance</w:t>
      </w:r>
      <w:r w:rsidR="00A421FD">
        <w:rPr>
          <w:rFonts w:ascii="Open Sans" w:hAnsi="Open Sans" w:cs="Open Sans"/>
          <w:i/>
          <w:iCs/>
          <w:color w:val="002060"/>
        </w:rPr>
        <w:t xml:space="preserve"> when I’ve already submitted it</w:t>
      </w:r>
      <w:r w:rsidRPr="003865BC">
        <w:rPr>
          <w:rFonts w:ascii="Open Sans" w:hAnsi="Open Sans" w:cs="Open Sans"/>
          <w:i/>
          <w:iCs/>
          <w:color w:val="002060"/>
        </w:rPr>
        <w:t>?</w:t>
      </w:r>
      <w:r>
        <w:rPr>
          <w:rFonts w:ascii="Open Sans" w:hAnsi="Open Sans" w:cs="Open Sans"/>
          <w:color w:val="002060"/>
        </w:rPr>
        <w:t xml:space="preserve"> It is common for group companies to </w:t>
      </w:r>
      <w:r w:rsidR="005C4AE8">
        <w:rPr>
          <w:rFonts w:ascii="Open Sans" w:hAnsi="Open Sans" w:cs="Open Sans"/>
          <w:color w:val="002060"/>
        </w:rPr>
        <w:t xml:space="preserve">get repeat requests particularly where insurance certificates are not clear on </w:t>
      </w:r>
      <w:r w:rsidR="00A421FD">
        <w:rPr>
          <w:rFonts w:ascii="Open Sans" w:hAnsi="Open Sans" w:cs="Open Sans"/>
          <w:color w:val="002060"/>
        </w:rPr>
        <w:t xml:space="preserve">which companies are covered. </w:t>
      </w:r>
    </w:p>
    <w:p w14:paraId="3A5971DD" w14:textId="77777777" w:rsidR="00845675" w:rsidRDefault="00845675" w:rsidP="00845675">
      <w:pPr>
        <w:pStyle w:val="Heading1"/>
        <w:spacing w:after="240" w:line="276" w:lineRule="auto"/>
        <w:rPr>
          <w:rFonts w:ascii="Open Sans" w:hAnsi="Open Sans" w:cs="Open Sans"/>
          <w:color w:val="0099A0"/>
          <w:sz w:val="28"/>
          <w:szCs w:val="28"/>
        </w:rPr>
        <w:sectPr w:rsidR="00845675" w:rsidSect="00E70B9B">
          <w:headerReference w:type="default" r:id="rId12"/>
          <w:footerReference w:type="default" r:id="rId13"/>
          <w:pgSz w:w="11906" w:h="16838"/>
          <w:pgMar w:top="1440" w:right="1080" w:bottom="1440" w:left="1080" w:header="1417" w:footer="708" w:gutter="0"/>
          <w:cols w:space="708"/>
          <w:docGrid w:linePitch="360"/>
        </w:sectPr>
      </w:pPr>
    </w:p>
    <w:p w14:paraId="6228283D" w14:textId="1ACDA3AD" w:rsidR="00845675" w:rsidRDefault="00291E74" w:rsidP="00845675">
      <w:pPr>
        <w:pStyle w:val="Heading1"/>
        <w:spacing w:after="240" w:line="276" w:lineRule="auto"/>
        <w:rPr>
          <w:rFonts w:ascii="Open Sans" w:hAnsi="Open Sans" w:cs="Open Sans"/>
          <w:color w:val="0099A0"/>
          <w:sz w:val="28"/>
          <w:szCs w:val="28"/>
        </w:rPr>
      </w:pPr>
      <w:r>
        <w:rPr>
          <w:rFonts w:ascii="Open Sans" w:hAnsi="Open Sans" w:cs="Open Sans"/>
          <w:color w:val="0099A0"/>
          <w:sz w:val="28"/>
          <w:szCs w:val="28"/>
        </w:rPr>
        <w:lastRenderedPageBreak/>
        <w:t xml:space="preserve">Appendix A: </w:t>
      </w:r>
      <w:r w:rsidR="00845675" w:rsidRPr="00BA6426">
        <w:rPr>
          <w:rFonts w:ascii="Open Sans" w:hAnsi="Open Sans" w:cs="Open Sans"/>
          <w:color w:val="0099A0"/>
          <w:sz w:val="28"/>
          <w:szCs w:val="28"/>
        </w:rPr>
        <w:t>Triggers for suspension</w:t>
      </w:r>
    </w:p>
    <w:p w14:paraId="399C9FED" w14:textId="351BE8B9" w:rsidR="00845675" w:rsidRPr="000A1AE7" w:rsidRDefault="00845675" w:rsidP="00845675">
      <w:r>
        <w:rPr>
          <w:rFonts w:ascii="Open Sans" w:hAnsi="Open Sans" w:cs="Open Sans"/>
          <w:color w:val="002060"/>
        </w:rPr>
        <w:t xml:space="preserve">This table sets out the trigger for suspending providers.  </w:t>
      </w:r>
    </w:p>
    <w:tbl>
      <w:tblPr>
        <w:tblStyle w:val="TableGrid"/>
        <w:tblW w:w="5000" w:type="pct"/>
        <w:tblLayout w:type="fixed"/>
        <w:tblLook w:val="04A0" w:firstRow="1" w:lastRow="0" w:firstColumn="1" w:lastColumn="0" w:noHBand="0" w:noVBand="1"/>
      </w:tblPr>
      <w:tblGrid>
        <w:gridCol w:w="5957"/>
        <w:gridCol w:w="1599"/>
        <w:gridCol w:w="1598"/>
        <w:gridCol w:w="1598"/>
        <w:gridCol w:w="1598"/>
        <w:gridCol w:w="1598"/>
      </w:tblGrid>
      <w:tr w:rsidR="00845675" w14:paraId="5450E2CC" w14:textId="77777777" w:rsidTr="00845675">
        <w:tc>
          <w:tcPr>
            <w:tcW w:w="2135" w:type="pct"/>
          </w:tcPr>
          <w:p w14:paraId="48B012ED" w14:textId="77777777" w:rsidR="00845675" w:rsidRDefault="00845675" w:rsidP="009734BC">
            <w:pPr>
              <w:spacing w:after="240" w:line="276" w:lineRule="auto"/>
              <w:rPr>
                <w:rFonts w:ascii="Open Sans" w:hAnsi="Open Sans" w:cs="Open Sans"/>
                <w:color w:val="002060"/>
              </w:rPr>
            </w:pPr>
          </w:p>
        </w:tc>
        <w:tc>
          <w:tcPr>
            <w:tcW w:w="573" w:type="pct"/>
          </w:tcPr>
          <w:p w14:paraId="25D2E10C" w14:textId="77777777" w:rsidR="00845675" w:rsidRPr="00A56D5C" w:rsidRDefault="00845675" w:rsidP="009734BC">
            <w:pPr>
              <w:spacing w:after="240" w:line="276" w:lineRule="auto"/>
              <w:rPr>
                <w:rFonts w:ascii="Open Sans" w:hAnsi="Open Sans" w:cs="Open Sans"/>
                <w:b/>
                <w:bCs/>
                <w:color w:val="002060"/>
              </w:rPr>
            </w:pPr>
            <w:r w:rsidRPr="00A56D5C">
              <w:rPr>
                <w:rFonts w:ascii="Open Sans" w:hAnsi="Open Sans" w:cs="Open Sans"/>
                <w:b/>
                <w:bCs/>
                <w:color w:val="002060"/>
              </w:rPr>
              <w:t xml:space="preserve">Fostering </w:t>
            </w:r>
          </w:p>
        </w:tc>
        <w:tc>
          <w:tcPr>
            <w:tcW w:w="573" w:type="pct"/>
          </w:tcPr>
          <w:p w14:paraId="26103FC2" w14:textId="77777777" w:rsidR="00845675" w:rsidRPr="00A56D5C" w:rsidRDefault="00845675" w:rsidP="009734BC">
            <w:pPr>
              <w:spacing w:after="240" w:line="276" w:lineRule="auto"/>
              <w:rPr>
                <w:rFonts w:ascii="Open Sans" w:hAnsi="Open Sans" w:cs="Open Sans"/>
                <w:b/>
                <w:bCs/>
                <w:color w:val="002060"/>
              </w:rPr>
            </w:pPr>
            <w:r w:rsidRPr="00A56D5C">
              <w:rPr>
                <w:rFonts w:ascii="Open Sans" w:hAnsi="Open Sans" w:cs="Open Sans"/>
                <w:b/>
                <w:bCs/>
                <w:color w:val="002060"/>
              </w:rPr>
              <w:t>Residential</w:t>
            </w:r>
          </w:p>
        </w:tc>
        <w:tc>
          <w:tcPr>
            <w:tcW w:w="573" w:type="pct"/>
          </w:tcPr>
          <w:p w14:paraId="586ACA5F" w14:textId="77777777" w:rsidR="00845675" w:rsidRPr="00A56D5C" w:rsidRDefault="00845675" w:rsidP="009734BC">
            <w:pPr>
              <w:spacing w:after="240" w:line="276" w:lineRule="auto"/>
              <w:rPr>
                <w:rFonts w:ascii="Open Sans" w:hAnsi="Open Sans" w:cs="Open Sans"/>
                <w:b/>
                <w:bCs/>
                <w:color w:val="002060"/>
              </w:rPr>
            </w:pPr>
            <w:r w:rsidRPr="00A56D5C">
              <w:rPr>
                <w:rFonts w:ascii="Open Sans" w:hAnsi="Open Sans" w:cs="Open Sans"/>
                <w:b/>
                <w:bCs/>
                <w:color w:val="002060"/>
              </w:rPr>
              <w:t>SEND (Schools and Colleges)</w:t>
            </w:r>
          </w:p>
        </w:tc>
        <w:tc>
          <w:tcPr>
            <w:tcW w:w="573" w:type="pct"/>
          </w:tcPr>
          <w:p w14:paraId="13E270A3" w14:textId="77777777" w:rsidR="00845675" w:rsidRPr="00A56D5C" w:rsidRDefault="00845675" w:rsidP="009734BC">
            <w:pPr>
              <w:spacing w:after="240" w:line="276" w:lineRule="auto"/>
              <w:rPr>
                <w:rFonts w:ascii="Open Sans" w:hAnsi="Open Sans" w:cs="Open Sans"/>
                <w:b/>
                <w:bCs/>
                <w:color w:val="002060"/>
              </w:rPr>
            </w:pPr>
            <w:r w:rsidRPr="00A56D5C">
              <w:rPr>
                <w:rFonts w:ascii="Open Sans" w:hAnsi="Open Sans" w:cs="Open Sans"/>
                <w:b/>
                <w:bCs/>
                <w:color w:val="002060"/>
              </w:rPr>
              <w:t>SEND (AP)</w:t>
            </w:r>
          </w:p>
        </w:tc>
        <w:tc>
          <w:tcPr>
            <w:tcW w:w="573" w:type="pct"/>
          </w:tcPr>
          <w:p w14:paraId="7107D3AF" w14:textId="77777777" w:rsidR="00845675" w:rsidRPr="00A56D5C" w:rsidRDefault="00845675" w:rsidP="009734BC">
            <w:pPr>
              <w:spacing w:after="240" w:line="276" w:lineRule="auto"/>
              <w:rPr>
                <w:rFonts w:ascii="Open Sans" w:hAnsi="Open Sans" w:cs="Open Sans"/>
                <w:b/>
                <w:bCs/>
                <w:color w:val="002060"/>
              </w:rPr>
            </w:pPr>
            <w:r w:rsidRPr="00A56D5C">
              <w:rPr>
                <w:rFonts w:ascii="Open Sans" w:hAnsi="Open Sans" w:cs="Open Sans"/>
                <w:b/>
                <w:bCs/>
                <w:color w:val="002060"/>
              </w:rPr>
              <w:t>Supported Accommodation</w:t>
            </w:r>
          </w:p>
        </w:tc>
      </w:tr>
      <w:tr w:rsidR="00845675" w14:paraId="4ED37E0E" w14:textId="77777777" w:rsidTr="00845675">
        <w:tc>
          <w:tcPr>
            <w:tcW w:w="2135" w:type="pct"/>
          </w:tcPr>
          <w:p w14:paraId="3E19A0A0"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Not providing in date insurance at the required levels</w:t>
            </w:r>
          </w:p>
        </w:tc>
        <w:tc>
          <w:tcPr>
            <w:tcW w:w="573" w:type="pct"/>
          </w:tcPr>
          <w:p w14:paraId="7833DEE8"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78FB60BD"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5EBB399B"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4F9DCE64"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7403BF6C"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r w:rsidR="00845675" w14:paraId="7DE8C5A9" w14:textId="77777777" w:rsidTr="00845675">
        <w:tc>
          <w:tcPr>
            <w:tcW w:w="2135" w:type="pct"/>
          </w:tcPr>
          <w:p w14:paraId="2297C79D"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Not completing the annual checklist in full</w:t>
            </w:r>
          </w:p>
        </w:tc>
        <w:tc>
          <w:tcPr>
            <w:tcW w:w="573" w:type="pct"/>
          </w:tcPr>
          <w:p w14:paraId="33D1946C"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0A37CA88"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196167F9"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48DE8782"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1C016E14"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r w:rsidR="00845675" w14:paraId="74BB634F" w14:textId="77777777" w:rsidTr="00845675">
        <w:tc>
          <w:tcPr>
            <w:tcW w:w="2135" w:type="pct"/>
          </w:tcPr>
          <w:p w14:paraId="65F3E0C6"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Not providing the documents for a Transitional Monitoring Assessment</w:t>
            </w:r>
          </w:p>
        </w:tc>
        <w:tc>
          <w:tcPr>
            <w:tcW w:w="573" w:type="pct"/>
          </w:tcPr>
          <w:p w14:paraId="5802F9D9"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0537E595"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4C6F403F"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630096CA"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28A59E6C"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r w:rsidR="00845675" w14:paraId="0726C6D7" w14:textId="77777777" w:rsidTr="00845675">
        <w:tc>
          <w:tcPr>
            <w:tcW w:w="2135" w:type="pct"/>
          </w:tcPr>
          <w:p w14:paraId="53DDB1E1"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Unsatisfactory resolution of an ISP notification. (Note this is already included in the ISP process)</w:t>
            </w:r>
          </w:p>
        </w:tc>
        <w:tc>
          <w:tcPr>
            <w:tcW w:w="573" w:type="pct"/>
          </w:tcPr>
          <w:p w14:paraId="7AFDD908"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777BEF01"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688CF72A"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02F30591"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40293017"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r w:rsidR="00845675" w14:paraId="4909F49E" w14:textId="77777777" w:rsidTr="00845675">
        <w:tc>
          <w:tcPr>
            <w:tcW w:w="2135" w:type="pct"/>
          </w:tcPr>
          <w:p w14:paraId="75A6E079" w14:textId="64FAC33F" w:rsidR="00845675" w:rsidRDefault="00845675" w:rsidP="009734BC">
            <w:pPr>
              <w:spacing w:after="240" w:line="276" w:lineRule="auto"/>
              <w:rPr>
                <w:rFonts w:ascii="Open Sans" w:hAnsi="Open Sans" w:cs="Open Sans"/>
                <w:color w:val="002060"/>
              </w:rPr>
            </w:pPr>
            <w:r>
              <w:rPr>
                <w:rFonts w:ascii="Open Sans" w:hAnsi="Open Sans" w:cs="Open Sans"/>
                <w:color w:val="002060"/>
              </w:rPr>
              <w:t>Failure to deliver against requirements set out in contract documents</w:t>
            </w:r>
            <w:r w:rsidR="000638A4">
              <w:rPr>
                <w:rFonts w:ascii="Open Sans" w:hAnsi="Open Sans" w:cs="Open Sans"/>
                <w:color w:val="002060"/>
              </w:rPr>
              <w:t>.</w:t>
            </w:r>
          </w:p>
        </w:tc>
        <w:tc>
          <w:tcPr>
            <w:tcW w:w="573" w:type="pct"/>
          </w:tcPr>
          <w:p w14:paraId="1DFE6EE8"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44F171F4"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7DAD75E7"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02911E13"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143B7BD2"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r w:rsidR="00845675" w14:paraId="6A44155F" w14:textId="77777777" w:rsidTr="00845675">
        <w:tc>
          <w:tcPr>
            <w:tcW w:w="2135" w:type="pct"/>
          </w:tcPr>
          <w:p w14:paraId="1DFA2D43"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 xml:space="preserve">All settings listed on the FPS have received an ‘Inadequate’ inspection outcome. </w:t>
            </w:r>
          </w:p>
        </w:tc>
        <w:tc>
          <w:tcPr>
            <w:tcW w:w="573" w:type="pct"/>
          </w:tcPr>
          <w:p w14:paraId="21A73158"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261CB3D1"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362B3144"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320DDD76"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58F5D6F3"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r>
      <w:tr w:rsidR="00845675" w14:paraId="47A1714A" w14:textId="77777777" w:rsidTr="00845675">
        <w:tc>
          <w:tcPr>
            <w:tcW w:w="2135" w:type="pct"/>
          </w:tcPr>
          <w:p w14:paraId="50F4C955" w14:textId="5C73EAE3" w:rsidR="00845675" w:rsidRDefault="00845675" w:rsidP="009734BC">
            <w:pPr>
              <w:spacing w:after="240" w:line="276" w:lineRule="auto"/>
              <w:rPr>
                <w:rFonts w:ascii="Open Sans" w:hAnsi="Open Sans" w:cs="Open Sans"/>
                <w:color w:val="002060"/>
              </w:rPr>
            </w:pPr>
            <w:r>
              <w:rPr>
                <w:rFonts w:ascii="Open Sans" w:hAnsi="Open Sans" w:cs="Open Sans"/>
                <w:color w:val="002060"/>
              </w:rPr>
              <w:t>Provider has received an ‘Inadequate’ or ‘Outcome 3 – Serious and widespread weakness’ inspection outcome</w:t>
            </w:r>
            <w:r w:rsidR="000638A4">
              <w:rPr>
                <w:rFonts w:ascii="Open Sans" w:hAnsi="Open Sans" w:cs="Open Sans"/>
                <w:color w:val="002060"/>
              </w:rPr>
              <w:t xml:space="preserve"> or ceased to be Ofsted registered</w:t>
            </w:r>
            <w:r>
              <w:rPr>
                <w:rFonts w:ascii="Open Sans" w:hAnsi="Open Sans" w:cs="Open Sans"/>
                <w:color w:val="002060"/>
              </w:rPr>
              <w:t>.</w:t>
            </w:r>
          </w:p>
        </w:tc>
        <w:tc>
          <w:tcPr>
            <w:tcW w:w="573" w:type="pct"/>
          </w:tcPr>
          <w:p w14:paraId="59DCAA54"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c>
          <w:tcPr>
            <w:tcW w:w="573" w:type="pct"/>
          </w:tcPr>
          <w:p w14:paraId="017F3A4D"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08EC5107"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n/a</w:t>
            </w:r>
          </w:p>
        </w:tc>
        <w:tc>
          <w:tcPr>
            <w:tcW w:w="573" w:type="pct"/>
          </w:tcPr>
          <w:p w14:paraId="6CED1DBB"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 (regulated)</w:t>
            </w:r>
          </w:p>
        </w:tc>
        <w:tc>
          <w:tcPr>
            <w:tcW w:w="573" w:type="pct"/>
          </w:tcPr>
          <w:p w14:paraId="5F9A905F" w14:textId="77777777" w:rsidR="00845675" w:rsidRDefault="00845675" w:rsidP="009734BC">
            <w:pPr>
              <w:spacing w:after="240" w:line="276" w:lineRule="auto"/>
              <w:rPr>
                <w:rFonts w:ascii="Open Sans" w:hAnsi="Open Sans" w:cs="Open Sans"/>
                <w:color w:val="002060"/>
              </w:rPr>
            </w:pPr>
            <w:r>
              <w:rPr>
                <w:rFonts w:ascii="Open Sans" w:hAnsi="Open Sans" w:cs="Open Sans"/>
                <w:color w:val="002060"/>
              </w:rPr>
              <w:t>Yes</w:t>
            </w:r>
          </w:p>
        </w:tc>
      </w:tr>
    </w:tbl>
    <w:p w14:paraId="75D75D6D" w14:textId="77777777" w:rsidR="00845675" w:rsidRPr="00FA637F" w:rsidRDefault="00845675" w:rsidP="00EE515E">
      <w:pPr>
        <w:spacing w:after="240" w:line="276" w:lineRule="auto"/>
        <w:rPr>
          <w:rFonts w:ascii="Open Sans" w:hAnsi="Open Sans" w:cs="Open Sans"/>
          <w:color w:val="002060"/>
        </w:rPr>
      </w:pPr>
    </w:p>
    <w:sectPr w:rsidR="00845675" w:rsidRPr="00FA637F" w:rsidSect="00845675">
      <w:pgSz w:w="16838" w:h="11906" w:orient="landscape"/>
      <w:pgMar w:top="1080" w:right="1440" w:bottom="108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86D6" w14:textId="77777777" w:rsidR="00885043" w:rsidRDefault="00885043" w:rsidP="00A35009">
      <w:pPr>
        <w:spacing w:after="0" w:line="240" w:lineRule="auto"/>
      </w:pPr>
      <w:r>
        <w:separator/>
      </w:r>
    </w:p>
  </w:endnote>
  <w:endnote w:type="continuationSeparator" w:id="0">
    <w:p w14:paraId="297864D1" w14:textId="77777777" w:rsidR="00885043" w:rsidRDefault="00885043" w:rsidP="00A35009">
      <w:pPr>
        <w:spacing w:after="0" w:line="240" w:lineRule="auto"/>
      </w:pPr>
      <w:r>
        <w:continuationSeparator/>
      </w:r>
    </w:p>
  </w:endnote>
  <w:endnote w:type="continuationNotice" w:id="1">
    <w:p w14:paraId="145FE5FC" w14:textId="77777777" w:rsidR="00885043" w:rsidRDefault="00885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DAFF" w14:textId="77777777" w:rsidR="00885043" w:rsidRDefault="00885043" w:rsidP="00A35009">
      <w:pPr>
        <w:spacing w:after="0" w:line="240" w:lineRule="auto"/>
      </w:pPr>
      <w:r>
        <w:separator/>
      </w:r>
    </w:p>
  </w:footnote>
  <w:footnote w:type="continuationSeparator" w:id="0">
    <w:p w14:paraId="7FDE2BE6" w14:textId="77777777" w:rsidR="00885043" w:rsidRDefault="00885043" w:rsidP="00A35009">
      <w:pPr>
        <w:spacing w:after="0" w:line="240" w:lineRule="auto"/>
      </w:pPr>
      <w:r>
        <w:continuationSeparator/>
      </w:r>
    </w:p>
  </w:footnote>
  <w:footnote w:type="continuationNotice" w:id="1">
    <w:p w14:paraId="0574F6EB" w14:textId="77777777" w:rsidR="00885043" w:rsidRDefault="00885043">
      <w:pPr>
        <w:spacing w:after="0" w:line="240" w:lineRule="auto"/>
      </w:pPr>
    </w:p>
  </w:footnote>
  <w:footnote w:id="2">
    <w:p w14:paraId="221B15FE" w14:textId="4225739D" w:rsidR="00E60C12" w:rsidRDefault="00E60C12">
      <w:pPr>
        <w:pStyle w:val="FootnoteText"/>
      </w:pPr>
      <w:r>
        <w:rPr>
          <w:rStyle w:val="FootnoteReference"/>
        </w:rPr>
        <w:footnoteRef/>
      </w:r>
      <w:r>
        <w:t xml:space="preserve"> </w:t>
      </w:r>
      <w:r w:rsidRPr="00B001D7">
        <w:rPr>
          <w:rFonts w:ascii="Open Sans" w:hAnsi="Open Sans" w:cs="Open Sans"/>
          <w:color w:val="002060"/>
          <w:sz w:val="18"/>
          <w:szCs w:val="18"/>
        </w:rPr>
        <w:t xml:space="preserve">Details of the Information Sharing Protocol (ISP) can be found on our website here: </w:t>
      </w:r>
      <w:hyperlink r:id="rId1" w:history="1">
        <w:r w:rsidR="00B001D7" w:rsidRPr="00B001D7">
          <w:rPr>
            <w:rFonts w:ascii="Open Sans" w:hAnsi="Open Sans" w:cs="Open Sans"/>
            <w:color w:val="002060"/>
            <w:sz w:val="18"/>
            <w:szCs w:val="18"/>
          </w:rPr>
          <w:t>https://www.nwadcs.org.uk/information-sharing-protocol</w:t>
        </w:r>
      </w:hyperlink>
      <w:r w:rsidR="00B001D7" w:rsidRPr="00B001D7">
        <w:rPr>
          <w:sz w:val="16"/>
          <w:szCs w:val="16"/>
        </w:rPr>
        <w:t xml:space="preserve"> </w:t>
      </w:r>
      <w:r w:rsidR="00B001D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E29F" w14:textId="2CF9F21F" w:rsidR="005314BC" w:rsidRDefault="00070EA9" w:rsidP="00EA4216">
    <w:pPr>
      <w:pStyle w:val="Header"/>
    </w:pPr>
    <w:r w:rsidRPr="00DF56C9">
      <w:rPr>
        <w:noProof/>
        <w:color w:val="20275C"/>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922"/>
    <w:multiLevelType w:val="hybridMultilevel"/>
    <w:tmpl w:val="18909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95045"/>
    <w:multiLevelType w:val="hybridMultilevel"/>
    <w:tmpl w:val="7E6C5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204C3"/>
    <w:multiLevelType w:val="hybridMultilevel"/>
    <w:tmpl w:val="BF2A4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21267"/>
    <w:multiLevelType w:val="hybridMultilevel"/>
    <w:tmpl w:val="03424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F20B5"/>
    <w:multiLevelType w:val="hybridMultilevel"/>
    <w:tmpl w:val="D0DE6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5B6CEE"/>
    <w:multiLevelType w:val="hybridMultilevel"/>
    <w:tmpl w:val="8328236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0C6E77"/>
    <w:multiLevelType w:val="hybridMultilevel"/>
    <w:tmpl w:val="31D89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F86C11"/>
    <w:multiLevelType w:val="hybridMultilevel"/>
    <w:tmpl w:val="4EE05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D764908"/>
    <w:multiLevelType w:val="hybridMultilevel"/>
    <w:tmpl w:val="17E85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E1944"/>
    <w:multiLevelType w:val="hybridMultilevel"/>
    <w:tmpl w:val="0972B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F829AA"/>
    <w:multiLevelType w:val="hybridMultilevel"/>
    <w:tmpl w:val="169E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9F14E6"/>
    <w:multiLevelType w:val="hybridMultilevel"/>
    <w:tmpl w:val="F524FB0A"/>
    <w:lvl w:ilvl="0" w:tplc="1A04758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72380B"/>
    <w:multiLevelType w:val="multilevel"/>
    <w:tmpl w:val="81D89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06A79"/>
    <w:multiLevelType w:val="hybridMultilevel"/>
    <w:tmpl w:val="409AB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D6F81"/>
    <w:multiLevelType w:val="hybridMultilevel"/>
    <w:tmpl w:val="DD2A4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D4B57"/>
    <w:multiLevelType w:val="hybridMultilevel"/>
    <w:tmpl w:val="243C5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1D5217"/>
    <w:multiLevelType w:val="multilevel"/>
    <w:tmpl w:val="E5A4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573309"/>
    <w:multiLevelType w:val="multilevel"/>
    <w:tmpl w:val="3B2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D388C"/>
    <w:multiLevelType w:val="hybridMultilevel"/>
    <w:tmpl w:val="1C460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54569"/>
    <w:multiLevelType w:val="hybridMultilevel"/>
    <w:tmpl w:val="FE1CFEFC"/>
    <w:lvl w:ilvl="0" w:tplc="97AE8DCE">
      <w:start w:val="1"/>
      <w:numFmt w:val="bullet"/>
      <w:lvlText w:val=""/>
      <w:lvlJc w:val="left"/>
      <w:pPr>
        <w:ind w:left="360" w:hanging="360"/>
      </w:pPr>
      <w:rPr>
        <w:rFonts w:ascii="Symbol" w:hAnsi="Symbol" w:hint="default"/>
      </w:rPr>
    </w:lvl>
    <w:lvl w:ilvl="1" w:tplc="ABE4EA24">
      <w:start w:val="1"/>
      <w:numFmt w:val="bullet"/>
      <w:lvlText w:val="o"/>
      <w:lvlJc w:val="left"/>
      <w:pPr>
        <w:ind w:left="1080" w:hanging="360"/>
      </w:pPr>
      <w:rPr>
        <w:rFonts w:ascii="Courier New" w:hAnsi="Courier New" w:hint="default"/>
      </w:rPr>
    </w:lvl>
    <w:lvl w:ilvl="2" w:tplc="EC1A5882">
      <w:start w:val="1"/>
      <w:numFmt w:val="bullet"/>
      <w:lvlText w:val=""/>
      <w:lvlJc w:val="left"/>
      <w:pPr>
        <w:ind w:left="1800" w:hanging="360"/>
      </w:pPr>
      <w:rPr>
        <w:rFonts w:ascii="Wingdings" w:hAnsi="Wingdings" w:hint="default"/>
      </w:rPr>
    </w:lvl>
    <w:lvl w:ilvl="3" w:tplc="FC56048E">
      <w:start w:val="1"/>
      <w:numFmt w:val="bullet"/>
      <w:lvlText w:val=""/>
      <w:lvlJc w:val="left"/>
      <w:pPr>
        <w:ind w:left="2520" w:hanging="360"/>
      </w:pPr>
      <w:rPr>
        <w:rFonts w:ascii="Symbol" w:hAnsi="Symbol" w:hint="default"/>
      </w:rPr>
    </w:lvl>
    <w:lvl w:ilvl="4" w:tplc="2CD2B9FA">
      <w:start w:val="1"/>
      <w:numFmt w:val="bullet"/>
      <w:lvlText w:val="o"/>
      <w:lvlJc w:val="left"/>
      <w:pPr>
        <w:ind w:left="3240" w:hanging="360"/>
      </w:pPr>
      <w:rPr>
        <w:rFonts w:ascii="Courier New" w:hAnsi="Courier New" w:hint="default"/>
      </w:rPr>
    </w:lvl>
    <w:lvl w:ilvl="5" w:tplc="649E5FEE">
      <w:start w:val="1"/>
      <w:numFmt w:val="bullet"/>
      <w:lvlText w:val=""/>
      <w:lvlJc w:val="left"/>
      <w:pPr>
        <w:ind w:left="3960" w:hanging="360"/>
      </w:pPr>
      <w:rPr>
        <w:rFonts w:ascii="Wingdings" w:hAnsi="Wingdings" w:hint="default"/>
      </w:rPr>
    </w:lvl>
    <w:lvl w:ilvl="6" w:tplc="827416B0">
      <w:start w:val="1"/>
      <w:numFmt w:val="bullet"/>
      <w:lvlText w:val=""/>
      <w:lvlJc w:val="left"/>
      <w:pPr>
        <w:ind w:left="4680" w:hanging="360"/>
      </w:pPr>
      <w:rPr>
        <w:rFonts w:ascii="Symbol" w:hAnsi="Symbol" w:hint="default"/>
      </w:rPr>
    </w:lvl>
    <w:lvl w:ilvl="7" w:tplc="9CAE2CD0">
      <w:start w:val="1"/>
      <w:numFmt w:val="bullet"/>
      <w:lvlText w:val="o"/>
      <w:lvlJc w:val="left"/>
      <w:pPr>
        <w:ind w:left="5400" w:hanging="360"/>
      </w:pPr>
      <w:rPr>
        <w:rFonts w:ascii="Courier New" w:hAnsi="Courier New" w:hint="default"/>
      </w:rPr>
    </w:lvl>
    <w:lvl w:ilvl="8" w:tplc="9A263C36">
      <w:start w:val="1"/>
      <w:numFmt w:val="bullet"/>
      <w:lvlText w:val=""/>
      <w:lvlJc w:val="left"/>
      <w:pPr>
        <w:ind w:left="6120" w:hanging="360"/>
      </w:pPr>
      <w:rPr>
        <w:rFonts w:ascii="Wingdings" w:hAnsi="Wingdings" w:hint="default"/>
      </w:rPr>
    </w:lvl>
  </w:abstractNum>
  <w:abstractNum w:abstractNumId="22" w15:restartNumberingAfterBreak="0">
    <w:nsid w:val="58015938"/>
    <w:multiLevelType w:val="hybridMultilevel"/>
    <w:tmpl w:val="0854FA66"/>
    <w:lvl w:ilvl="0" w:tplc="E8607080">
      <w:start w:val="1"/>
      <w:numFmt w:val="bullet"/>
      <w:lvlText w:val=""/>
      <w:lvlJc w:val="left"/>
      <w:pPr>
        <w:ind w:left="360" w:hanging="360"/>
      </w:pPr>
      <w:rPr>
        <w:rFonts w:ascii="Symbol" w:hAnsi="Symbol" w:hint="default"/>
      </w:rPr>
    </w:lvl>
    <w:lvl w:ilvl="1" w:tplc="592C6146">
      <w:start w:val="1"/>
      <w:numFmt w:val="bullet"/>
      <w:lvlText w:val="o"/>
      <w:lvlJc w:val="left"/>
      <w:pPr>
        <w:ind w:left="1440" w:hanging="360"/>
      </w:pPr>
      <w:rPr>
        <w:rFonts w:ascii="Courier New" w:hAnsi="Courier New" w:hint="default"/>
      </w:rPr>
    </w:lvl>
    <w:lvl w:ilvl="2" w:tplc="22A0BF04">
      <w:start w:val="1"/>
      <w:numFmt w:val="bullet"/>
      <w:lvlText w:val=""/>
      <w:lvlJc w:val="left"/>
      <w:pPr>
        <w:ind w:left="2160" w:hanging="360"/>
      </w:pPr>
      <w:rPr>
        <w:rFonts w:ascii="Wingdings" w:hAnsi="Wingdings" w:hint="default"/>
      </w:rPr>
    </w:lvl>
    <w:lvl w:ilvl="3" w:tplc="ACC805E4">
      <w:start w:val="1"/>
      <w:numFmt w:val="bullet"/>
      <w:lvlText w:val=""/>
      <w:lvlJc w:val="left"/>
      <w:pPr>
        <w:ind w:left="2880" w:hanging="360"/>
      </w:pPr>
      <w:rPr>
        <w:rFonts w:ascii="Symbol" w:hAnsi="Symbol" w:hint="default"/>
      </w:rPr>
    </w:lvl>
    <w:lvl w:ilvl="4" w:tplc="4E021BA2">
      <w:start w:val="1"/>
      <w:numFmt w:val="bullet"/>
      <w:lvlText w:val="o"/>
      <w:lvlJc w:val="left"/>
      <w:pPr>
        <w:ind w:left="3600" w:hanging="360"/>
      </w:pPr>
      <w:rPr>
        <w:rFonts w:ascii="Courier New" w:hAnsi="Courier New" w:hint="default"/>
      </w:rPr>
    </w:lvl>
    <w:lvl w:ilvl="5" w:tplc="7C80BD48">
      <w:start w:val="1"/>
      <w:numFmt w:val="bullet"/>
      <w:lvlText w:val=""/>
      <w:lvlJc w:val="left"/>
      <w:pPr>
        <w:ind w:left="4320" w:hanging="360"/>
      </w:pPr>
      <w:rPr>
        <w:rFonts w:ascii="Wingdings" w:hAnsi="Wingdings" w:hint="default"/>
      </w:rPr>
    </w:lvl>
    <w:lvl w:ilvl="6" w:tplc="29FCF76C">
      <w:start w:val="1"/>
      <w:numFmt w:val="bullet"/>
      <w:lvlText w:val=""/>
      <w:lvlJc w:val="left"/>
      <w:pPr>
        <w:ind w:left="5040" w:hanging="360"/>
      </w:pPr>
      <w:rPr>
        <w:rFonts w:ascii="Symbol" w:hAnsi="Symbol" w:hint="default"/>
      </w:rPr>
    </w:lvl>
    <w:lvl w:ilvl="7" w:tplc="A32EC7D0">
      <w:start w:val="1"/>
      <w:numFmt w:val="bullet"/>
      <w:lvlText w:val="o"/>
      <w:lvlJc w:val="left"/>
      <w:pPr>
        <w:ind w:left="5760" w:hanging="360"/>
      </w:pPr>
      <w:rPr>
        <w:rFonts w:ascii="Courier New" w:hAnsi="Courier New" w:hint="default"/>
      </w:rPr>
    </w:lvl>
    <w:lvl w:ilvl="8" w:tplc="28827DE2">
      <w:start w:val="1"/>
      <w:numFmt w:val="bullet"/>
      <w:lvlText w:val=""/>
      <w:lvlJc w:val="left"/>
      <w:pPr>
        <w:ind w:left="6480" w:hanging="360"/>
      </w:pPr>
      <w:rPr>
        <w:rFonts w:ascii="Wingdings" w:hAnsi="Wingdings" w:hint="default"/>
      </w:rPr>
    </w:lvl>
  </w:abstractNum>
  <w:abstractNum w:abstractNumId="23" w15:restartNumberingAfterBreak="0">
    <w:nsid w:val="5BB91010"/>
    <w:multiLevelType w:val="hybridMultilevel"/>
    <w:tmpl w:val="F0C2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F6782"/>
    <w:multiLevelType w:val="hybridMultilevel"/>
    <w:tmpl w:val="83DE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25CB0"/>
    <w:multiLevelType w:val="hybridMultilevel"/>
    <w:tmpl w:val="0E90F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C475D3"/>
    <w:multiLevelType w:val="hybridMultilevel"/>
    <w:tmpl w:val="0AC8F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03A3"/>
    <w:multiLevelType w:val="hybridMultilevel"/>
    <w:tmpl w:val="4B56A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54314"/>
    <w:multiLevelType w:val="hybridMultilevel"/>
    <w:tmpl w:val="37C4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23118A"/>
    <w:multiLevelType w:val="hybridMultilevel"/>
    <w:tmpl w:val="405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A6096"/>
    <w:multiLevelType w:val="hybridMultilevel"/>
    <w:tmpl w:val="68AE6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077C7F"/>
    <w:multiLevelType w:val="hybridMultilevel"/>
    <w:tmpl w:val="EF505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7841B5"/>
    <w:multiLevelType w:val="hybridMultilevel"/>
    <w:tmpl w:val="E6329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7554545">
    <w:abstractNumId w:val="7"/>
  </w:num>
  <w:num w:numId="2" w16cid:durableId="1327002">
    <w:abstractNumId w:val="20"/>
  </w:num>
  <w:num w:numId="3" w16cid:durableId="501511450">
    <w:abstractNumId w:val="24"/>
  </w:num>
  <w:num w:numId="4" w16cid:durableId="2032561463">
    <w:abstractNumId w:val="22"/>
  </w:num>
  <w:num w:numId="5" w16cid:durableId="1976251801">
    <w:abstractNumId w:val="21"/>
  </w:num>
  <w:num w:numId="6" w16cid:durableId="1164011407">
    <w:abstractNumId w:val="27"/>
  </w:num>
  <w:num w:numId="7" w16cid:durableId="1774934517">
    <w:abstractNumId w:val="20"/>
  </w:num>
  <w:num w:numId="8" w16cid:durableId="998388537">
    <w:abstractNumId w:val="20"/>
  </w:num>
  <w:num w:numId="9" w16cid:durableId="978727388">
    <w:abstractNumId w:val="19"/>
  </w:num>
  <w:num w:numId="10" w16cid:durableId="836502937">
    <w:abstractNumId w:val="20"/>
  </w:num>
  <w:num w:numId="11" w16cid:durableId="1499811153">
    <w:abstractNumId w:val="25"/>
  </w:num>
  <w:num w:numId="12" w16cid:durableId="1217353742">
    <w:abstractNumId w:val="30"/>
  </w:num>
  <w:num w:numId="13" w16cid:durableId="1750426904">
    <w:abstractNumId w:val="5"/>
  </w:num>
  <w:num w:numId="14" w16cid:durableId="482160347">
    <w:abstractNumId w:val="20"/>
  </w:num>
  <w:num w:numId="15" w16cid:durableId="216625700">
    <w:abstractNumId w:val="17"/>
  </w:num>
  <w:num w:numId="16" w16cid:durableId="625966843">
    <w:abstractNumId w:val="12"/>
  </w:num>
  <w:num w:numId="17" w16cid:durableId="367144047">
    <w:abstractNumId w:val="28"/>
  </w:num>
  <w:num w:numId="18" w16cid:durableId="263537333">
    <w:abstractNumId w:val="26"/>
  </w:num>
  <w:num w:numId="19" w16cid:durableId="1483280193">
    <w:abstractNumId w:val="23"/>
  </w:num>
  <w:num w:numId="20" w16cid:durableId="724454167">
    <w:abstractNumId w:val="13"/>
  </w:num>
  <w:num w:numId="21" w16cid:durableId="1381785617">
    <w:abstractNumId w:val="1"/>
  </w:num>
  <w:num w:numId="22" w16cid:durableId="720591403">
    <w:abstractNumId w:val="8"/>
  </w:num>
  <w:num w:numId="23" w16cid:durableId="2028096941">
    <w:abstractNumId w:val="14"/>
  </w:num>
  <w:num w:numId="24" w16cid:durableId="634914198">
    <w:abstractNumId w:val="33"/>
  </w:num>
  <w:num w:numId="25" w16cid:durableId="2106488973">
    <w:abstractNumId w:val="2"/>
  </w:num>
  <w:num w:numId="26" w16cid:durableId="736905300">
    <w:abstractNumId w:val="3"/>
  </w:num>
  <w:num w:numId="27" w16cid:durableId="550993647">
    <w:abstractNumId w:val="32"/>
  </w:num>
  <w:num w:numId="28" w16cid:durableId="1545290762">
    <w:abstractNumId w:val="29"/>
  </w:num>
  <w:num w:numId="29" w16cid:durableId="1587614838">
    <w:abstractNumId w:val="9"/>
  </w:num>
  <w:num w:numId="30" w16cid:durableId="2034644035">
    <w:abstractNumId w:val="11"/>
  </w:num>
  <w:num w:numId="31" w16cid:durableId="1076826861">
    <w:abstractNumId w:val="16"/>
  </w:num>
  <w:num w:numId="32" w16cid:durableId="2022008206">
    <w:abstractNumId w:val="20"/>
  </w:num>
  <w:num w:numId="33" w16cid:durableId="1312255178">
    <w:abstractNumId w:val="15"/>
  </w:num>
  <w:num w:numId="34" w16cid:durableId="150410727">
    <w:abstractNumId w:val="0"/>
  </w:num>
  <w:num w:numId="35" w16cid:durableId="1001735426">
    <w:abstractNumId w:val="6"/>
  </w:num>
  <w:num w:numId="36" w16cid:durableId="923412997">
    <w:abstractNumId w:val="10"/>
  </w:num>
  <w:num w:numId="37" w16cid:durableId="1818647080">
    <w:abstractNumId w:val="4"/>
  </w:num>
  <w:num w:numId="38" w16cid:durableId="1209493262">
    <w:abstractNumId w:val="18"/>
  </w:num>
  <w:num w:numId="39" w16cid:durableId="14858514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00E0"/>
    <w:rsid w:val="000056E0"/>
    <w:rsid w:val="00030950"/>
    <w:rsid w:val="00032434"/>
    <w:rsid w:val="00036258"/>
    <w:rsid w:val="00036456"/>
    <w:rsid w:val="000379F0"/>
    <w:rsid w:val="00045B48"/>
    <w:rsid w:val="00046F4C"/>
    <w:rsid w:val="0005093D"/>
    <w:rsid w:val="000613BB"/>
    <w:rsid w:val="00062799"/>
    <w:rsid w:val="000638A4"/>
    <w:rsid w:val="00070EA9"/>
    <w:rsid w:val="000720D8"/>
    <w:rsid w:val="00084551"/>
    <w:rsid w:val="000A017D"/>
    <w:rsid w:val="000A1AE7"/>
    <w:rsid w:val="000A290F"/>
    <w:rsid w:val="000A3AB2"/>
    <w:rsid w:val="000A6E5E"/>
    <w:rsid w:val="000A74A5"/>
    <w:rsid w:val="000B3C2F"/>
    <w:rsid w:val="000C110F"/>
    <w:rsid w:val="000C1E84"/>
    <w:rsid w:val="000C54C1"/>
    <w:rsid w:val="000D02A8"/>
    <w:rsid w:val="000D1B85"/>
    <w:rsid w:val="000D4687"/>
    <w:rsid w:val="000E03E4"/>
    <w:rsid w:val="000E3622"/>
    <w:rsid w:val="00101244"/>
    <w:rsid w:val="00105DBB"/>
    <w:rsid w:val="00112EDA"/>
    <w:rsid w:val="001169CD"/>
    <w:rsid w:val="001175FD"/>
    <w:rsid w:val="0012400E"/>
    <w:rsid w:val="00131B59"/>
    <w:rsid w:val="00131ECE"/>
    <w:rsid w:val="001340A0"/>
    <w:rsid w:val="00134C71"/>
    <w:rsid w:val="00134E0F"/>
    <w:rsid w:val="00155CB8"/>
    <w:rsid w:val="00157F3F"/>
    <w:rsid w:val="00162E44"/>
    <w:rsid w:val="00173944"/>
    <w:rsid w:val="00181FFE"/>
    <w:rsid w:val="0019194A"/>
    <w:rsid w:val="001A4AFB"/>
    <w:rsid w:val="001A5EBF"/>
    <w:rsid w:val="001A7B88"/>
    <w:rsid w:val="001B4E65"/>
    <w:rsid w:val="001B5E55"/>
    <w:rsid w:val="001B749A"/>
    <w:rsid w:val="001D0C1D"/>
    <w:rsid w:val="001D1D36"/>
    <w:rsid w:val="001E76B7"/>
    <w:rsid w:val="00201273"/>
    <w:rsid w:val="00207E2A"/>
    <w:rsid w:val="00211EFC"/>
    <w:rsid w:val="00222F38"/>
    <w:rsid w:val="002240FA"/>
    <w:rsid w:val="002311F6"/>
    <w:rsid w:val="0023171C"/>
    <w:rsid w:val="00232672"/>
    <w:rsid w:val="0023412A"/>
    <w:rsid w:val="00234F2B"/>
    <w:rsid w:val="002432C9"/>
    <w:rsid w:val="002433A9"/>
    <w:rsid w:val="00243E93"/>
    <w:rsid w:val="002458C1"/>
    <w:rsid w:val="00257E85"/>
    <w:rsid w:val="002644A9"/>
    <w:rsid w:val="00265DF1"/>
    <w:rsid w:val="0026691C"/>
    <w:rsid w:val="002671C2"/>
    <w:rsid w:val="00271A68"/>
    <w:rsid w:val="00272BBB"/>
    <w:rsid w:val="00291E74"/>
    <w:rsid w:val="002931ED"/>
    <w:rsid w:val="00294913"/>
    <w:rsid w:val="00295B89"/>
    <w:rsid w:val="002A28F5"/>
    <w:rsid w:val="002A2FD7"/>
    <w:rsid w:val="002A72DA"/>
    <w:rsid w:val="002B3297"/>
    <w:rsid w:val="002B579A"/>
    <w:rsid w:val="002C1B84"/>
    <w:rsid w:val="002E2DA5"/>
    <w:rsid w:val="002F1772"/>
    <w:rsid w:val="0030184D"/>
    <w:rsid w:val="00305D28"/>
    <w:rsid w:val="00311E37"/>
    <w:rsid w:val="00327191"/>
    <w:rsid w:val="0036175A"/>
    <w:rsid w:val="00373A3D"/>
    <w:rsid w:val="003815C9"/>
    <w:rsid w:val="003822BF"/>
    <w:rsid w:val="003854C5"/>
    <w:rsid w:val="003865BC"/>
    <w:rsid w:val="00387F8A"/>
    <w:rsid w:val="00393A66"/>
    <w:rsid w:val="003975D4"/>
    <w:rsid w:val="003A0076"/>
    <w:rsid w:val="003B25FB"/>
    <w:rsid w:val="003B7576"/>
    <w:rsid w:val="003C1E26"/>
    <w:rsid w:val="003C6BD3"/>
    <w:rsid w:val="003E100B"/>
    <w:rsid w:val="003E7ECC"/>
    <w:rsid w:val="003F1129"/>
    <w:rsid w:val="003F25AC"/>
    <w:rsid w:val="003F3C91"/>
    <w:rsid w:val="00400D5A"/>
    <w:rsid w:val="00416B4C"/>
    <w:rsid w:val="0042314A"/>
    <w:rsid w:val="004258D5"/>
    <w:rsid w:val="00426FC4"/>
    <w:rsid w:val="004277D4"/>
    <w:rsid w:val="00430949"/>
    <w:rsid w:val="00436E05"/>
    <w:rsid w:val="00441090"/>
    <w:rsid w:val="00442959"/>
    <w:rsid w:val="00447191"/>
    <w:rsid w:val="004611FC"/>
    <w:rsid w:val="004637DD"/>
    <w:rsid w:val="00463EBD"/>
    <w:rsid w:val="00467A79"/>
    <w:rsid w:val="00474EA6"/>
    <w:rsid w:val="00475D86"/>
    <w:rsid w:val="0048135A"/>
    <w:rsid w:val="00482127"/>
    <w:rsid w:val="004906F4"/>
    <w:rsid w:val="00496A6B"/>
    <w:rsid w:val="004A5A63"/>
    <w:rsid w:val="004A7D00"/>
    <w:rsid w:val="004B2919"/>
    <w:rsid w:val="004B5B1D"/>
    <w:rsid w:val="004C1AC6"/>
    <w:rsid w:val="004E13F8"/>
    <w:rsid w:val="004E675B"/>
    <w:rsid w:val="00516A23"/>
    <w:rsid w:val="005314BC"/>
    <w:rsid w:val="00560936"/>
    <w:rsid w:val="005629C2"/>
    <w:rsid w:val="00563CC7"/>
    <w:rsid w:val="005675D6"/>
    <w:rsid w:val="005744F7"/>
    <w:rsid w:val="00592755"/>
    <w:rsid w:val="00594630"/>
    <w:rsid w:val="0059495D"/>
    <w:rsid w:val="005978AD"/>
    <w:rsid w:val="005A25CA"/>
    <w:rsid w:val="005B07BA"/>
    <w:rsid w:val="005B2DCE"/>
    <w:rsid w:val="005C4AE8"/>
    <w:rsid w:val="005D1DD8"/>
    <w:rsid w:val="005F26C8"/>
    <w:rsid w:val="005F3AB4"/>
    <w:rsid w:val="0060599A"/>
    <w:rsid w:val="00611B13"/>
    <w:rsid w:val="00611D80"/>
    <w:rsid w:val="0061649D"/>
    <w:rsid w:val="0062500E"/>
    <w:rsid w:val="00625206"/>
    <w:rsid w:val="00633876"/>
    <w:rsid w:val="00641ACE"/>
    <w:rsid w:val="00646212"/>
    <w:rsid w:val="00647A70"/>
    <w:rsid w:val="00647B79"/>
    <w:rsid w:val="00651D58"/>
    <w:rsid w:val="00652AFB"/>
    <w:rsid w:val="006547D7"/>
    <w:rsid w:val="0065660D"/>
    <w:rsid w:val="006618A6"/>
    <w:rsid w:val="00665976"/>
    <w:rsid w:val="00681449"/>
    <w:rsid w:val="00684F5C"/>
    <w:rsid w:val="0068500C"/>
    <w:rsid w:val="006A0989"/>
    <w:rsid w:val="006B4926"/>
    <w:rsid w:val="006C70F2"/>
    <w:rsid w:val="006D29E8"/>
    <w:rsid w:val="006D2E62"/>
    <w:rsid w:val="006D3B80"/>
    <w:rsid w:val="0070421C"/>
    <w:rsid w:val="00707942"/>
    <w:rsid w:val="00710B0A"/>
    <w:rsid w:val="00710E9B"/>
    <w:rsid w:val="00711E12"/>
    <w:rsid w:val="0071779F"/>
    <w:rsid w:val="00751F7C"/>
    <w:rsid w:val="00764497"/>
    <w:rsid w:val="00765B8E"/>
    <w:rsid w:val="007753E3"/>
    <w:rsid w:val="0078236D"/>
    <w:rsid w:val="00782C3E"/>
    <w:rsid w:val="00784437"/>
    <w:rsid w:val="0078592C"/>
    <w:rsid w:val="00793169"/>
    <w:rsid w:val="00795B73"/>
    <w:rsid w:val="007A4B05"/>
    <w:rsid w:val="007B0B9B"/>
    <w:rsid w:val="007B2542"/>
    <w:rsid w:val="007B3D63"/>
    <w:rsid w:val="007B66EF"/>
    <w:rsid w:val="007E3404"/>
    <w:rsid w:val="007E3651"/>
    <w:rsid w:val="007F39E2"/>
    <w:rsid w:val="008116D8"/>
    <w:rsid w:val="00815C1F"/>
    <w:rsid w:val="00815D14"/>
    <w:rsid w:val="00816CB1"/>
    <w:rsid w:val="008351E0"/>
    <w:rsid w:val="00835FBA"/>
    <w:rsid w:val="0084235D"/>
    <w:rsid w:val="00845675"/>
    <w:rsid w:val="008462B2"/>
    <w:rsid w:val="00857D14"/>
    <w:rsid w:val="00865F0D"/>
    <w:rsid w:val="00873207"/>
    <w:rsid w:val="00884E3C"/>
    <w:rsid w:val="00885043"/>
    <w:rsid w:val="00896BC3"/>
    <w:rsid w:val="008A416B"/>
    <w:rsid w:val="008C1403"/>
    <w:rsid w:val="008C2B48"/>
    <w:rsid w:val="008C4FF1"/>
    <w:rsid w:val="008D0229"/>
    <w:rsid w:val="008D4773"/>
    <w:rsid w:val="008D4B97"/>
    <w:rsid w:val="008D50DD"/>
    <w:rsid w:val="008E349E"/>
    <w:rsid w:val="008E3CB8"/>
    <w:rsid w:val="008E78DE"/>
    <w:rsid w:val="008F2355"/>
    <w:rsid w:val="008F512B"/>
    <w:rsid w:val="009021B6"/>
    <w:rsid w:val="009113B6"/>
    <w:rsid w:val="009239F6"/>
    <w:rsid w:val="009320B3"/>
    <w:rsid w:val="00932625"/>
    <w:rsid w:val="0093515C"/>
    <w:rsid w:val="0093673A"/>
    <w:rsid w:val="00942F13"/>
    <w:rsid w:val="00946B37"/>
    <w:rsid w:val="00946DA7"/>
    <w:rsid w:val="00953D23"/>
    <w:rsid w:val="0096041A"/>
    <w:rsid w:val="00963B23"/>
    <w:rsid w:val="00966E23"/>
    <w:rsid w:val="00986F71"/>
    <w:rsid w:val="00996908"/>
    <w:rsid w:val="009A1FF9"/>
    <w:rsid w:val="009B4EBB"/>
    <w:rsid w:val="009C5796"/>
    <w:rsid w:val="009D5C01"/>
    <w:rsid w:val="009F3688"/>
    <w:rsid w:val="009F3CF4"/>
    <w:rsid w:val="009F4767"/>
    <w:rsid w:val="009F79E2"/>
    <w:rsid w:val="00A062B4"/>
    <w:rsid w:val="00A128CE"/>
    <w:rsid w:val="00A13146"/>
    <w:rsid w:val="00A156C2"/>
    <w:rsid w:val="00A303B0"/>
    <w:rsid w:val="00A32C41"/>
    <w:rsid w:val="00A35009"/>
    <w:rsid w:val="00A421FD"/>
    <w:rsid w:val="00A47F34"/>
    <w:rsid w:val="00A51A63"/>
    <w:rsid w:val="00A53763"/>
    <w:rsid w:val="00A56D5C"/>
    <w:rsid w:val="00A57127"/>
    <w:rsid w:val="00A654FE"/>
    <w:rsid w:val="00A66EC5"/>
    <w:rsid w:val="00A81733"/>
    <w:rsid w:val="00A8237B"/>
    <w:rsid w:val="00A8571A"/>
    <w:rsid w:val="00AA43C8"/>
    <w:rsid w:val="00AA4877"/>
    <w:rsid w:val="00AA5F90"/>
    <w:rsid w:val="00AA61A9"/>
    <w:rsid w:val="00AA62D8"/>
    <w:rsid w:val="00AB621E"/>
    <w:rsid w:val="00AC007E"/>
    <w:rsid w:val="00AD4977"/>
    <w:rsid w:val="00AE4298"/>
    <w:rsid w:val="00AE439E"/>
    <w:rsid w:val="00AE4B53"/>
    <w:rsid w:val="00AE532C"/>
    <w:rsid w:val="00AE5B44"/>
    <w:rsid w:val="00AF0784"/>
    <w:rsid w:val="00AF17DD"/>
    <w:rsid w:val="00AF1824"/>
    <w:rsid w:val="00AF795F"/>
    <w:rsid w:val="00B001D7"/>
    <w:rsid w:val="00B07C12"/>
    <w:rsid w:val="00B152A2"/>
    <w:rsid w:val="00B15D34"/>
    <w:rsid w:val="00B330DF"/>
    <w:rsid w:val="00B36C77"/>
    <w:rsid w:val="00B4574F"/>
    <w:rsid w:val="00B61399"/>
    <w:rsid w:val="00B65B6E"/>
    <w:rsid w:val="00B73954"/>
    <w:rsid w:val="00B75D7D"/>
    <w:rsid w:val="00B83960"/>
    <w:rsid w:val="00B95C1E"/>
    <w:rsid w:val="00BA199B"/>
    <w:rsid w:val="00BA5F84"/>
    <w:rsid w:val="00BA6119"/>
    <w:rsid w:val="00BA6426"/>
    <w:rsid w:val="00BB23ED"/>
    <w:rsid w:val="00BC17A5"/>
    <w:rsid w:val="00BC7388"/>
    <w:rsid w:val="00BE342C"/>
    <w:rsid w:val="00BE5AC3"/>
    <w:rsid w:val="00BF1A1C"/>
    <w:rsid w:val="00BF49B8"/>
    <w:rsid w:val="00BF6859"/>
    <w:rsid w:val="00C101A8"/>
    <w:rsid w:val="00C17A2E"/>
    <w:rsid w:val="00C20E0A"/>
    <w:rsid w:val="00C24FED"/>
    <w:rsid w:val="00C34670"/>
    <w:rsid w:val="00C36DF7"/>
    <w:rsid w:val="00C51702"/>
    <w:rsid w:val="00C60203"/>
    <w:rsid w:val="00C632B6"/>
    <w:rsid w:val="00C74A04"/>
    <w:rsid w:val="00C74E31"/>
    <w:rsid w:val="00C82D63"/>
    <w:rsid w:val="00CC2F4B"/>
    <w:rsid w:val="00CC48DD"/>
    <w:rsid w:val="00CC6327"/>
    <w:rsid w:val="00CD1EF7"/>
    <w:rsid w:val="00CD5132"/>
    <w:rsid w:val="00CF1FE7"/>
    <w:rsid w:val="00CF73D9"/>
    <w:rsid w:val="00D014F6"/>
    <w:rsid w:val="00D02007"/>
    <w:rsid w:val="00D02E73"/>
    <w:rsid w:val="00D071C9"/>
    <w:rsid w:val="00D33965"/>
    <w:rsid w:val="00D35AF3"/>
    <w:rsid w:val="00D379F7"/>
    <w:rsid w:val="00D46D44"/>
    <w:rsid w:val="00D50537"/>
    <w:rsid w:val="00D50E34"/>
    <w:rsid w:val="00D5769A"/>
    <w:rsid w:val="00D57C79"/>
    <w:rsid w:val="00D768B3"/>
    <w:rsid w:val="00D914E9"/>
    <w:rsid w:val="00D92A33"/>
    <w:rsid w:val="00DA27CA"/>
    <w:rsid w:val="00DB03E7"/>
    <w:rsid w:val="00DB0E67"/>
    <w:rsid w:val="00DB77CF"/>
    <w:rsid w:val="00DC57A5"/>
    <w:rsid w:val="00DD139A"/>
    <w:rsid w:val="00DD402C"/>
    <w:rsid w:val="00DD5D86"/>
    <w:rsid w:val="00DE73EF"/>
    <w:rsid w:val="00DF4E0E"/>
    <w:rsid w:val="00E038A1"/>
    <w:rsid w:val="00E06C72"/>
    <w:rsid w:val="00E07F50"/>
    <w:rsid w:val="00E12D28"/>
    <w:rsid w:val="00E1478E"/>
    <w:rsid w:val="00E24127"/>
    <w:rsid w:val="00E30F2C"/>
    <w:rsid w:val="00E314CE"/>
    <w:rsid w:val="00E32174"/>
    <w:rsid w:val="00E338FE"/>
    <w:rsid w:val="00E41C5C"/>
    <w:rsid w:val="00E44507"/>
    <w:rsid w:val="00E471AC"/>
    <w:rsid w:val="00E60C12"/>
    <w:rsid w:val="00E66128"/>
    <w:rsid w:val="00E70B9B"/>
    <w:rsid w:val="00E77B6A"/>
    <w:rsid w:val="00E828AB"/>
    <w:rsid w:val="00E87F27"/>
    <w:rsid w:val="00E92BB8"/>
    <w:rsid w:val="00EA1425"/>
    <w:rsid w:val="00EA4216"/>
    <w:rsid w:val="00EB1B44"/>
    <w:rsid w:val="00EB1C7F"/>
    <w:rsid w:val="00ED7C7A"/>
    <w:rsid w:val="00EE2995"/>
    <w:rsid w:val="00EE515E"/>
    <w:rsid w:val="00EE7D62"/>
    <w:rsid w:val="00EF399C"/>
    <w:rsid w:val="00EF5AF0"/>
    <w:rsid w:val="00F06BBE"/>
    <w:rsid w:val="00F0714C"/>
    <w:rsid w:val="00F1114D"/>
    <w:rsid w:val="00F113CF"/>
    <w:rsid w:val="00F15C26"/>
    <w:rsid w:val="00F211D8"/>
    <w:rsid w:val="00F2348F"/>
    <w:rsid w:val="00F2448D"/>
    <w:rsid w:val="00F2476B"/>
    <w:rsid w:val="00F323F5"/>
    <w:rsid w:val="00F35057"/>
    <w:rsid w:val="00F512D1"/>
    <w:rsid w:val="00F52888"/>
    <w:rsid w:val="00F63DC3"/>
    <w:rsid w:val="00F672AD"/>
    <w:rsid w:val="00F75DC6"/>
    <w:rsid w:val="00F77928"/>
    <w:rsid w:val="00F8055D"/>
    <w:rsid w:val="00F84711"/>
    <w:rsid w:val="00F94763"/>
    <w:rsid w:val="00F978FE"/>
    <w:rsid w:val="00FA297E"/>
    <w:rsid w:val="00FA35AC"/>
    <w:rsid w:val="00FA637F"/>
    <w:rsid w:val="00FB486C"/>
    <w:rsid w:val="00FC4E24"/>
    <w:rsid w:val="00FC52A7"/>
    <w:rsid w:val="00FC5B2F"/>
    <w:rsid w:val="00FD7AE5"/>
    <w:rsid w:val="00FE15A3"/>
    <w:rsid w:val="00FF02DB"/>
    <w:rsid w:val="00FF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75"/>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paragraph" w:styleId="EndnoteText">
    <w:name w:val="endnote text"/>
    <w:basedOn w:val="Normal"/>
    <w:link w:val="EndnoteTextChar"/>
    <w:uiPriority w:val="99"/>
    <w:semiHidden/>
    <w:unhideWhenUsed/>
    <w:rsid w:val="004410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1090"/>
    <w:rPr>
      <w:sz w:val="20"/>
      <w:szCs w:val="20"/>
    </w:rPr>
  </w:style>
  <w:style w:type="character" w:styleId="EndnoteReference">
    <w:name w:val="endnote reference"/>
    <w:basedOn w:val="DefaultParagraphFont"/>
    <w:uiPriority w:val="99"/>
    <w:semiHidden/>
    <w:unhideWhenUsed/>
    <w:rsid w:val="00441090"/>
    <w:rPr>
      <w:vertAlign w:val="superscript"/>
    </w:rPr>
  </w:style>
  <w:style w:type="paragraph" w:customStyle="1" w:styleId="xmsonormal">
    <w:name w:val="x_msonormal"/>
    <w:basedOn w:val="Normal"/>
    <w:rsid w:val="00E41C5C"/>
    <w:pPr>
      <w:spacing w:after="0" w:line="240" w:lineRule="auto"/>
    </w:pPr>
    <w:rPr>
      <w:rFonts w:ascii="Calibri" w:hAnsi="Calibri" w:cs="Calibri"/>
      <w:lang w:eastAsia="en-GB"/>
    </w:rPr>
  </w:style>
  <w:style w:type="paragraph" w:customStyle="1" w:styleId="xxmsonormal">
    <w:name w:val="x_xmsonormal"/>
    <w:basedOn w:val="Normal"/>
    <w:rsid w:val="00E41C5C"/>
    <w:pPr>
      <w:spacing w:after="0" w:line="240" w:lineRule="auto"/>
    </w:pPr>
    <w:rPr>
      <w:rFonts w:ascii="Calibri" w:hAnsi="Calibri" w:cs="Calibri"/>
      <w:lang w:eastAsia="en-GB"/>
    </w:rPr>
  </w:style>
  <w:style w:type="character" w:customStyle="1" w:styleId="xcontentpasted0">
    <w:name w:val="x_contentpasted0"/>
    <w:basedOn w:val="DefaultParagraphFont"/>
    <w:rsid w:val="00E41C5C"/>
  </w:style>
  <w:style w:type="character" w:customStyle="1" w:styleId="xxelementtoproof">
    <w:name w:val="x_xelementtoproof"/>
    <w:basedOn w:val="DefaultParagraphFont"/>
    <w:rsid w:val="00E41C5C"/>
  </w:style>
  <w:style w:type="character" w:customStyle="1" w:styleId="xcontentpasted1">
    <w:name w:val="x_contentpasted1"/>
    <w:basedOn w:val="DefaultParagraphFont"/>
    <w:rsid w:val="00E41C5C"/>
  </w:style>
  <w:style w:type="paragraph" w:customStyle="1" w:styleId="legclearfix">
    <w:name w:val="legclearfix"/>
    <w:basedOn w:val="Normal"/>
    <w:rsid w:val="008F2355"/>
    <w:pPr>
      <w:spacing w:before="100" w:beforeAutospacing="1" w:after="100" w:afterAutospacing="1" w:line="240" w:lineRule="auto"/>
    </w:pPr>
    <w:rPr>
      <w:rFonts w:ascii="Calibri" w:hAnsi="Calibri" w:cs="Calibri"/>
      <w:lang w:eastAsia="en-GB"/>
    </w:rPr>
  </w:style>
  <w:style w:type="character" w:customStyle="1" w:styleId="legds">
    <w:name w:val="legds"/>
    <w:basedOn w:val="DefaultParagraphFont"/>
    <w:rsid w:val="008F2355"/>
  </w:style>
  <w:style w:type="character" w:customStyle="1" w:styleId="legp1no">
    <w:name w:val="legp1no"/>
    <w:basedOn w:val="DefaultParagraphFont"/>
    <w:rsid w:val="008F2355"/>
  </w:style>
  <w:style w:type="character" w:styleId="UnresolvedMention">
    <w:name w:val="Unresolved Mention"/>
    <w:basedOn w:val="DefaultParagraphFont"/>
    <w:uiPriority w:val="99"/>
    <w:semiHidden/>
    <w:unhideWhenUsed/>
    <w:rsid w:val="00D02007"/>
    <w:rPr>
      <w:color w:val="605E5C"/>
      <w:shd w:val="clear" w:color="auto" w:fill="E1DFDD"/>
    </w:rPr>
  </w:style>
  <w:style w:type="paragraph" w:styleId="FootnoteText">
    <w:name w:val="footnote text"/>
    <w:basedOn w:val="Normal"/>
    <w:link w:val="FootnoteTextChar"/>
    <w:uiPriority w:val="99"/>
    <w:semiHidden/>
    <w:unhideWhenUsed/>
    <w:rsid w:val="00884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E3C"/>
    <w:rPr>
      <w:sz w:val="20"/>
      <w:szCs w:val="20"/>
    </w:rPr>
  </w:style>
  <w:style w:type="character" w:styleId="FootnoteReference">
    <w:name w:val="footnote reference"/>
    <w:basedOn w:val="DefaultParagraphFont"/>
    <w:uiPriority w:val="99"/>
    <w:semiHidden/>
    <w:unhideWhenUsed/>
    <w:rsid w:val="00884E3C"/>
    <w:rPr>
      <w:vertAlign w:val="superscript"/>
    </w:rPr>
  </w:style>
  <w:style w:type="character" w:styleId="CommentReference">
    <w:name w:val="annotation reference"/>
    <w:basedOn w:val="DefaultParagraphFont"/>
    <w:uiPriority w:val="99"/>
    <w:semiHidden/>
    <w:unhideWhenUsed/>
    <w:rsid w:val="004E675B"/>
    <w:rPr>
      <w:sz w:val="16"/>
      <w:szCs w:val="16"/>
    </w:rPr>
  </w:style>
  <w:style w:type="paragraph" w:styleId="CommentText">
    <w:name w:val="annotation text"/>
    <w:basedOn w:val="Normal"/>
    <w:link w:val="CommentTextChar"/>
    <w:uiPriority w:val="99"/>
    <w:unhideWhenUsed/>
    <w:rsid w:val="004E675B"/>
    <w:pPr>
      <w:spacing w:line="240" w:lineRule="auto"/>
    </w:pPr>
    <w:rPr>
      <w:sz w:val="20"/>
      <w:szCs w:val="20"/>
    </w:rPr>
  </w:style>
  <w:style w:type="character" w:customStyle="1" w:styleId="CommentTextChar">
    <w:name w:val="Comment Text Char"/>
    <w:basedOn w:val="DefaultParagraphFont"/>
    <w:link w:val="CommentText"/>
    <w:uiPriority w:val="99"/>
    <w:rsid w:val="004E675B"/>
    <w:rPr>
      <w:sz w:val="20"/>
      <w:szCs w:val="20"/>
    </w:rPr>
  </w:style>
  <w:style w:type="paragraph" w:styleId="CommentSubject">
    <w:name w:val="annotation subject"/>
    <w:basedOn w:val="CommentText"/>
    <w:next w:val="CommentText"/>
    <w:link w:val="CommentSubjectChar"/>
    <w:uiPriority w:val="99"/>
    <w:semiHidden/>
    <w:unhideWhenUsed/>
    <w:rsid w:val="004E675B"/>
    <w:rPr>
      <w:b/>
      <w:bCs/>
    </w:rPr>
  </w:style>
  <w:style w:type="character" w:customStyle="1" w:styleId="CommentSubjectChar">
    <w:name w:val="Comment Subject Char"/>
    <w:basedOn w:val="CommentTextChar"/>
    <w:link w:val="CommentSubject"/>
    <w:uiPriority w:val="99"/>
    <w:semiHidden/>
    <w:rsid w:val="004E6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6707">
      <w:bodyDiv w:val="1"/>
      <w:marLeft w:val="0"/>
      <w:marRight w:val="0"/>
      <w:marTop w:val="0"/>
      <w:marBottom w:val="0"/>
      <w:divBdr>
        <w:top w:val="none" w:sz="0" w:space="0" w:color="auto"/>
        <w:left w:val="none" w:sz="0" w:space="0" w:color="auto"/>
        <w:bottom w:val="none" w:sz="0" w:space="0" w:color="auto"/>
        <w:right w:val="none" w:sz="0" w:space="0" w:color="auto"/>
      </w:divBdr>
    </w:div>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49098958">
      <w:bodyDiv w:val="1"/>
      <w:marLeft w:val="0"/>
      <w:marRight w:val="0"/>
      <w:marTop w:val="0"/>
      <w:marBottom w:val="0"/>
      <w:divBdr>
        <w:top w:val="none" w:sz="0" w:space="0" w:color="auto"/>
        <w:left w:val="none" w:sz="0" w:space="0" w:color="auto"/>
        <w:bottom w:val="none" w:sz="0" w:space="0" w:color="auto"/>
        <w:right w:val="none" w:sz="0" w:space="0" w:color="auto"/>
      </w:divBdr>
    </w:div>
    <w:div w:id="174155090">
      <w:bodyDiv w:val="1"/>
      <w:marLeft w:val="0"/>
      <w:marRight w:val="0"/>
      <w:marTop w:val="0"/>
      <w:marBottom w:val="0"/>
      <w:divBdr>
        <w:top w:val="none" w:sz="0" w:space="0" w:color="auto"/>
        <w:left w:val="none" w:sz="0" w:space="0" w:color="auto"/>
        <w:bottom w:val="none" w:sz="0" w:space="0" w:color="auto"/>
        <w:right w:val="none" w:sz="0" w:space="0" w:color="auto"/>
      </w:divBdr>
    </w:div>
    <w:div w:id="184829808">
      <w:bodyDiv w:val="1"/>
      <w:marLeft w:val="0"/>
      <w:marRight w:val="0"/>
      <w:marTop w:val="0"/>
      <w:marBottom w:val="0"/>
      <w:divBdr>
        <w:top w:val="none" w:sz="0" w:space="0" w:color="auto"/>
        <w:left w:val="none" w:sz="0" w:space="0" w:color="auto"/>
        <w:bottom w:val="none" w:sz="0" w:space="0" w:color="auto"/>
        <w:right w:val="none" w:sz="0" w:space="0" w:color="auto"/>
      </w:divBdr>
      <w:divsChild>
        <w:div w:id="1091272398">
          <w:marLeft w:val="0"/>
          <w:marRight w:val="0"/>
          <w:marTop w:val="0"/>
          <w:marBottom w:val="0"/>
          <w:divBdr>
            <w:top w:val="none" w:sz="0" w:space="0" w:color="auto"/>
            <w:left w:val="none" w:sz="0" w:space="0" w:color="auto"/>
            <w:bottom w:val="none" w:sz="0" w:space="0" w:color="auto"/>
            <w:right w:val="none" w:sz="0" w:space="0" w:color="auto"/>
          </w:divBdr>
          <w:divsChild>
            <w:div w:id="1478381458">
              <w:marLeft w:val="0"/>
              <w:marRight w:val="0"/>
              <w:marTop w:val="0"/>
              <w:marBottom w:val="0"/>
              <w:divBdr>
                <w:top w:val="single" w:sz="8" w:space="3" w:color="E1E1E1"/>
                <w:left w:val="none" w:sz="0" w:space="0" w:color="auto"/>
                <w:bottom w:val="none" w:sz="0" w:space="0" w:color="auto"/>
                <w:right w:val="none" w:sz="0" w:space="0" w:color="auto"/>
              </w:divBdr>
            </w:div>
          </w:divsChild>
        </w:div>
        <w:div w:id="1119838946">
          <w:marLeft w:val="0"/>
          <w:marRight w:val="0"/>
          <w:marTop w:val="0"/>
          <w:marBottom w:val="0"/>
          <w:divBdr>
            <w:top w:val="none" w:sz="0" w:space="0" w:color="auto"/>
            <w:left w:val="none" w:sz="0" w:space="0" w:color="auto"/>
            <w:bottom w:val="none" w:sz="0" w:space="0" w:color="auto"/>
            <w:right w:val="none" w:sz="0" w:space="0" w:color="auto"/>
          </w:divBdr>
        </w:div>
      </w:divsChild>
    </w:div>
    <w:div w:id="332149569">
      <w:bodyDiv w:val="1"/>
      <w:marLeft w:val="0"/>
      <w:marRight w:val="0"/>
      <w:marTop w:val="0"/>
      <w:marBottom w:val="0"/>
      <w:divBdr>
        <w:top w:val="none" w:sz="0" w:space="0" w:color="auto"/>
        <w:left w:val="none" w:sz="0" w:space="0" w:color="auto"/>
        <w:bottom w:val="none" w:sz="0" w:space="0" w:color="auto"/>
        <w:right w:val="none" w:sz="0" w:space="0" w:color="auto"/>
      </w:divBdr>
    </w:div>
    <w:div w:id="459423720">
      <w:bodyDiv w:val="1"/>
      <w:marLeft w:val="0"/>
      <w:marRight w:val="0"/>
      <w:marTop w:val="0"/>
      <w:marBottom w:val="0"/>
      <w:divBdr>
        <w:top w:val="none" w:sz="0" w:space="0" w:color="auto"/>
        <w:left w:val="none" w:sz="0" w:space="0" w:color="auto"/>
        <w:bottom w:val="none" w:sz="0" w:space="0" w:color="auto"/>
        <w:right w:val="none" w:sz="0" w:space="0" w:color="auto"/>
      </w:divBdr>
    </w:div>
    <w:div w:id="535853814">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85750922">
      <w:bodyDiv w:val="1"/>
      <w:marLeft w:val="0"/>
      <w:marRight w:val="0"/>
      <w:marTop w:val="0"/>
      <w:marBottom w:val="0"/>
      <w:divBdr>
        <w:top w:val="none" w:sz="0" w:space="0" w:color="auto"/>
        <w:left w:val="none" w:sz="0" w:space="0" w:color="auto"/>
        <w:bottom w:val="none" w:sz="0" w:space="0" w:color="auto"/>
        <w:right w:val="none" w:sz="0" w:space="0" w:color="auto"/>
      </w:divBdr>
    </w:div>
    <w:div w:id="1215046007">
      <w:bodyDiv w:val="1"/>
      <w:marLeft w:val="0"/>
      <w:marRight w:val="0"/>
      <w:marTop w:val="0"/>
      <w:marBottom w:val="0"/>
      <w:divBdr>
        <w:top w:val="none" w:sz="0" w:space="0" w:color="auto"/>
        <w:left w:val="none" w:sz="0" w:space="0" w:color="auto"/>
        <w:bottom w:val="none" w:sz="0" w:space="0" w:color="auto"/>
        <w:right w:val="none" w:sz="0" w:space="0" w:color="auto"/>
      </w:divBdr>
    </w:div>
    <w:div w:id="1265722230">
      <w:bodyDiv w:val="1"/>
      <w:marLeft w:val="0"/>
      <w:marRight w:val="0"/>
      <w:marTop w:val="0"/>
      <w:marBottom w:val="0"/>
      <w:divBdr>
        <w:top w:val="none" w:sz="0" w:space="0" w:color="auto"/>
        <w:left w:val="none" w:sz="0" w:space="0" w:color="auto"/>
        <w:bottom w:val="none" w:sz="0" w:space="0" w:color="auto"/>
        <w:right w:val="none" w:sz="0" w:space="0" w:color="auto"/>
      </w:divBdr>
    </w:div>
    <w:div w:id="1467165335">
      <w:bodyDiv w:val="1"/>
      <w:marLeft w:val="0"/>
      <w:marRight w:val="0"/>
      <w:marTop w:val="0"/>
      <w:marBottom w:val="0"/>
      <w:divBdr>
        <w:top w:val="none" w:sz="0" w:space="0" w:color="auto"/>
        <w:left w:val="none" w:sz="0" w:space="0" w:color="auto"/>
        <w:bottom w:val="none" w:sz="0" w:space="0" w:color="auto"/>
        <w:right w:val="none" w:sz="0" w:space="0" w:color="auto"/>
      </w:divBdr>
    </w:div>
    <w:div w:id="1815639889">
      <w:bodyDiv w:val="1"/>
      <w:marLeft w:val="0"/>
      <w:marRight w:val="0"/>
      <w:marTop w:val="0"/>
      <w:marBottom w:val="0"/>
      <w:divBdr>
        <w:top w:val="none" w:sz="0" w:space="0" w:color="auto"/>
        <w:left w:val="none" w:sz="0" w:space="0" w:color="auto"/>
        <w:bottom w:val="none" w:sz="0" w:space="0" w:color="auto"/>
        <w:right w:val="none" w:sz="0" w:space="0" w:color="auto"/>
      </w:divBdr>
    </w:div>
    <w:div w:id="1865244524">
      <w:bodyDiv w:val="1"/>
      <w:marLeft w:val="0"/>
      <w:marRight w:val="0"/>
      <w:marTop w:val="0"/>
      <w:marBottom w:val="0"/>
      <w:divBdr>
        <w:top w:val="none" w:sz="0" w:space="0" w:color="auto"/>
        <w:left w:val="none" w:sz="0" w:space="0" w:color="auto"/>
        <w:bottom w:val="none" w:sz="0" w:space="0" w:color="auto"/>
        <w:right w:val="none" w:sz="0" w:space="0" w:color="auto"/>
      </w:divBdr>
    </w:div>
    <w:div w:id="1958482877">
      <w:bodyDiv w:val="1"/>
      <w:marLeft w:val="0"/>
      <w:marRight w:val="0"/>
      <w:marTop w:val="0"/>
      <w:marBottom w:val="0"/>
      <w:divBdr>
        <w:top w:val="none" w:sz="0" w:space="0" w:color="auto"/>
        <w:left w:val="none" w:sz="0" w:space="0" w:color="auto"/>
        <w:bottom w:val="none" w:sz="0" w:space="0" w:color="auto"/>
        <w:right w:val="none" w:sz="0" w:space="0" w:color="auto"/>
      </w:divBdr>
    </w:div>
    <w:div w:id="20172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northwest@stockpor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wadcs.org.uk/information-sharing-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8767293cd0b62980ae816102daf459a">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064c00432eb48ea5bb0238fd146ee6f4"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043d6bf5-bc38-4048-bee4-f9d523e76956">
      <Terms xmlns="http://schemas.microsoft.com/office/infopath/2007/PartnerControls"/>
    </lcf76f155ced4ddcb4097134ff3c332f>
    <_Flow_SignoffStatus xmlns="043d6bf5-bc38-4048-bee4-f9d523e76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E9EB-0733-4C6A-870A-96ACC0B8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6bf5-bc38-4048-bee4-f9d523e76956"/>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043d6bf5-bc38-4048-bee4-f9d523e76956"/>
  </ds:schemaRefs>
</ds:datastoreItem>
</file>

<file path=customXml/itemProps4.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Links>
    <vt:vector size="6" baseType="variant">
      <vt:variant>
        <vt:i4>6946832</vt:i4>
      </vt:variant>
      <vt:variant>
        <vt:i4>0</vt:i4>
      </vt:variant>
      <vt:variant>
        <vt:i4>0</vt:i4>
      </vt:variant>
      <vt:variant>
        <vt:i4>5</vt:i4>
      </vt:variant>
      <vt:variant>
        <vt:lpwstr>mailto:placementsnorthwest@stockport.gov.uk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86</cp:revision>
  <dcterms:created xsi:type="dcterms:W3CDTF">2025-04-14T09:18:00Z</dcterms:created>
  <dcterms:modified xsi:type="dcterms:W3CDTF">2025-06-03T14:46:00Z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0x010100EA12A4D7158F3C4E808DA44ADBFAA460</vt:lpwstr>
  </property>
  <property fmtid="{D5CDD505-2E9C-101B-9397-08002B2CF9AE}" pid="3" name="MediaServiceImageTags">
    <vt:lpwstr/>
  </property>
</Properties>
</file>