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884EEA" w14:textId="67DC0DF5" w:rsidR="007C4396" w:rsidRPr="00967B0F" w:rsidRDefault="00A4159E" w:rsidP="007C4A45">
      <w:pPr>
        <w:pStyle w:val="Header"/>
        <w:rPr>
          <w:b/>
          <w:bCs/>
          <w:sz w:val="36"/>
          <w:szCs w:val="36"/>
        </w:rPr>
      </w:pPr>
      <w:r>
        <w:rPr>
          <w:b/>
          <w:bCs/>
          <w:sz w:val="36"/>
          <w:szCs w:val="36"/>
        </w:rPr>
        <w:t xml:space="preserve">Education as a </w:t>
      </w:r>
      <w:r w:rsidR="00076129">
        <w:rPr>
          <w:b/>
          <w:bCs/>
          <w:sz w:val="36"/>
          <w:szCs w:val="36"/>
        </w:rPr>
        <w:t>Strategic Safeguarding Partner: Models for Integration &amp; Impact</w:t>
      </w:r>
      <w:r w:rsidR="002D6CD4" w:rsidRPr="00967B0F">
        <w:rPr>
          <w:b/>
          <w:bCs/>
          <w:sz w:val="36"/>
          <w:szCs w:val="36"/>
        </w:rPr>
        <w:tab/>
      </w:r>
    </w:p>
    <w:p w14:paraId="16D261B6" w14:textId="6A4E0678" w:rsidR="00101CEA" w:rsidRPr="002E4938" w:rsidRDefault="002E4938" w:rsidP="00101CEA">
      <w:pPr>
        <w:rPr>
          <w:rFonts w:ascii="Arial" w:hAnsi="Arial" w:cs="Arial"/>
          <w:i/>
          <w:iCs/>
          <w:sz w:val="28"/>
          <w:szCs w:val="28"/>
        </w:rPr>
      </w:pPr>
      <w:r>
        <w:rPr>
          <w:rFonts w:ascii="Arial" w:hAnsi="Arial" w:cs="Arial"/>
          <w:i/>
          <w:iCs/>
          <w:sz w:val="28"/>
          <w:szCs w:val="28"/>
        </w:rPr>
        <w:t xml:space="preserve">Aligning Educational Leadership with Safeguarding Strategy.  </w:t>
      </w:r>
      <w:r w:rsidR="00EC17D1">
        <w:rPr>
          <w:rFonts w:ascii="Arial" w:hAnsi="Arial" w:cs="Arial"/>
          <w:i/>
          <w:iCs/>
          <w:sz w:val="28"/>
          <w:szCs w:val="28"/>
        </w:rPr>
        <w:t>Pathways to Influence, Accountability, &amp; Shared Outcomes.</w:t>
      </w:r>
    </w:p>
    <w:p w14:paraId="32E0CC0A" w14:textId="77777777" w:rsidR="00D65472" w:rsidRDefault="00D65472" w:rsidP="00101CEA">
      <w:pPr>
        <w:rPr>
          <w:rFonts w:ascii="Arial" w:hAnsi="Arial" w:cs="Arial"/>
          <w:b/>
          <w:bCs/>
          <w:sz w:val="32"/>
          <w:szCs w:val="32"/>
        </w:rPr>
      </w:pPr>
    </w:p>
    <w:p w14:paraId="3EB475CB" w14:textId="13A104A4" w:rsidR="003A57CE" w:rsidRPr="00FA2404" w:rsidRDefault="003A57CE" w:rsidP="00101CEA">
      <w:pPr>
        <w:rPr>
          <w:rFonts w:ascii="Arial" w:hAnsi="Arial" w:cs="Arial"/>
          <w:b/>
          <w:bCs/>
          <w:sz w:val="28"/>
          <w:szCs w:val="28"/>
        </w:rPr>
      </w:pPr>
      <w:r w:rsidRPr="00FA2404">
        <w:rPr>
          <w:rFonts w:ascii="Arial" w:hAnsi="Arial" w:cs="Arial"/>
          <w:b/>
          <w:bCs/>
          <w:sz w:val="28"/>
          <w:szCs w:val="28"/>
        </w:rPr>
        <w:t>Introduction</w:t>
      </w:r>
    </w:p>
    <w:p w14:paraId="478C225A" w14:textId="77777777" w:rsidR="003A57CE" w:rsidRPr="00FA2404" w:rsidRDefault="003A57CE" w:rsidP="00101CEA">
      <w:pPr>
        <w:rPr>
          <w:rFonts w:ascii="Arial" w:hAnsi="Arial" w:cs="Arial"/>
          <w:sz w:val="28"/>
          <w:szCs w:val="28"/>
        </w:rPr>
      </w:pPr>
    </w:p>
    <w:p w14:paraId="4FC0F177" w14:textId="7150E4DE" w:rsidR="001E4131" w:rsidRPr="00FA2404" w:rsidRDefault="001E4131" w:rsidP="001E4131">
      <w:pPr>
        <w:rPr>
          <w:sz w:val="28"/>
          <w:szCs w:val="28"/>
        </w:rPr>
      </w:pPr>
      <w:r w:rsidRPr="00FA2404">
        <w:rPr>
          <w:sz w:val="28"/>
          <w:szCs w:val="28"/>
        </w:rPr>
        <w:t xml:space="preserve">This document explores potential structures through which safeguarding partnerships can elevate the role of education to a more strategic level. As safeguarding becomes increasingly complex and multi-faceted, the inclusion of education as a core strategic partner is essential to ensuring a holistic, preventative, and responsive approach. </w:t>
      </w:r>
      <w:r w:rsidR="006328D2" w:rsidRPr="00FA2404">
        <w:rPr>
          <w:sz w:val="28"/>
          <w:szCs w:val="28"/>
        </w:rPr>
        <w:t>E</w:t>
      </w:r>
      <w:r w:rsidRPr="00FA2404">
        <w:rPr>
          <w:sz w:val="28"/>
          <w:szCs w:val="28"/>
        </w:rPr>
        <w:t xml:space="preserve">ducational </w:t>
      </w:r>
      <w:r w:rsidR="006328D2" w:rsidRPr="00FA2404">
        <w:rPr>
          <w:sz w:val="28"/>
          <w:szCs w:val="28"/>
        </w:rPr>
        <w:t>establishment</w:t>
      </w:r>
      <w:r w:rsidRPr="00FA2404">
        <w:rPr>
          <w:sz w:val="28"/>
          <w:szCs w:val="28"/>
        </w:rPr>
        <w:t xml:space="preserve">s are uniquely positioned to identify early signs of harm, influence protective environments, and contribute to long-term safeguarding outcomes. </w:t>
      </w:r>
    </w:p>
    <w:p w14:paraId="64933973" w14:textId="77777777" w:rsidR="001E4131" w:rsidRPr="00FA2404" w:rsidRDefault="001E4131" w:rsidP="001E4131">
      <w:pPr>
        <w:rPr>
          <w:sz w:val="28"/>
          <w:szCs w:val="28"/>
        </w:rPr>
      </w:pPr>
    </w:p>
    <w:p w14:paraId="25D7096D" w14:textId="6FBF6D2D" w:rsidR="003A57CE" w:rsidRPr="00FA2404" w:rsidRDefault="001E4131" w:rsidP="00FA2404">
      <w:pPr>
        <w:rPr>
          <w:sz w:val="28"/>
          <w:szCs w:val="28"/>
        </w:rPr>
      </w:pPr>
      <w:r w:rsidRPr="00FA2404">
        <w:rPr>
          <w:sz w:val="28"/>
          <w:szCs w:val="28"/>
        </w:rPr>
        <w:t>By outlining a range of structural models—from formal representation on strategic boards to integrated governance frameworks—this document aims to support partnerships in designing inclusive, effective, and sustainable mechanisms for educational engagement at the highest level of decision-making.</w:t>
      </w:r>
    </w:p>
    <w:p w14:paraId="2ABC1641" w14:textId="77777777" w:rsidR="00D65472" w:rsidRPr="007C4A45" w:rsidRDefault="00D65472" w:rsidP="00101CEA">
      <w:pPr>
        <w:rPr>
          <w:rFonts w:ascii="Arial" w:hAnsi="Arial" w:cs="Arial"/>
          <w:b/>
          <w:bCs/>
          <w:sz w:val="32"/>
          <w:szCs w:val="32"/>
        </w:rPr>
      </w:pPr>
    </w:p>
    <w:p w14:paraId="3958C44C" w14:textId="3EAA5D4F" w:rsidR="003266AB" w:rsidRPr="00FA2404" w:rsidRDefault="0074332C" w:rsidP="003266AB">
      <w:pPr>
        <w:rPr>
          <w:sz w:val="28"/>
          <w:szCs w:val="28"/>
        </w:rPr>
      </w:pPr>
      <w:r>
        <w:rPr>
          <w:rFonts w:ascii="Aptos Body" w:hAnsi="Aptos Body"/>
          <w:sz w:val="28"/>
          <w:szCs w:val="28"/>
        </w:rPr>
        <w:pict w14:anchorId="2D8607F8">
          <v:rect id="_x0000_i1025" style="width:579pt;height:1.5pt" o:hrpct="0" o:hralign="center" o:hrstd="t" o:hrnoshade="t" o:hr="t" fillcolor="#424242" stroked="f"/>
        </w:pict>
      </w:r>
    </w:p>
    <w:p w14:paraId="7AE1D216" w14:textId="77777777" w:rsidR="0074332C" w:rsidRDefault="0074332C" w:rsidP="00FA2404">
      <w:pPr>
        <w:spacing w:after="160" w:line="278" w:lineRule="auto"/>
        <w:rPr>
          <w:b/>
          <w:bCs/>
          <w:sz w:val="28"/>
          <w:szCs w:val="28"/>
        </w:rPr>
      </w:pPr>
    </w:p>
    <w:p w14:paraId="38998593" w14:textId="28CA7B1D" w:rsidR="007C4A45" w:rsidRPr="00FA2404" w:rsidRDefault="007C4A45" w:rsidP="00FA2404">
      <w:pPr>
        <w:spacing w:after="160" w:line="278" w:lineRule="auto"/>
        <w:rPr>
          <w:b/>
          <w:bCs/>
          <w:sz w:val="28"/>
          <w:szCs w:val="28"/>
        </w:rPr>
      </w:pPr>
      <w:r w:rsidRPr="00FA2404">
        <w:rPr>
          <w:b/>
          <w:bCs/>
          <w:sz w:val="28"/>
          <w:szCs w:val="28"/>
        </w:rPr>
        <w:t xml:space="preserve">Culture </w:t>
      </w:r>
    </w:p>
    <w:p w14:paraId="17A3AB9D" w14:textId="77777777" w:rsidR="00DF37F9" w:rsidRDefault="00DF37F9" w:rsidP="00DF37F9">
      <w:pPr>
        <w:rPr>
          <w:sz w:val="28"/>
          <w:szCs w:val="28"/>
        </w:rPr>
      </w:pPr>
      <w:r w:rsidRPr="00DF37F9">
        <w:rPr>
          <w:sz w:val="28"/>
          <w:szCs w:val="28"/>
        </w:rPr>
        <w:t xml:space="preserve">A culture that truly embeds the voice and influence of education within safeguarding partnerships is built on mutual respect, shared accountability, and a commitment to inclusive collaboration. </w:t>
      </w:r>
    </w:p>
    <w:p w14:paraId="54ADE558" w14:textId="77777777" w:rsidR="00DF37F9" w:rsidRDefault="00DF37F9" w:rsidP="00DF37F9">
      <w:pPr>
        <w:rPr>
          <w:sz w:val="28"/>
          <w:szCs w:val="28"/>
        </w:rPr>
      </w:pPr>
    </w:p>
    <w:p w14:paraId="0A79E9E9" w14:textId="77777777" w:rsidR="00DF37F9" w:rsidRDefault="00DF37F9" w:rsidP="00DF37F9">
      <w:pPr>
        <w:rPr>
          <w:sz w:val="28"/>
          <w:szCs w:val="28"/>
        </w:rPr>
      </w:pPr>
      <w:r w:rsidRPr="00DF37F9">
        <w:rPr>
          <w:sz w:val="28"/>
          <w:szCs w:val="28"/>
        </w:rPr>
        <w:t xml:space="preserve">Key components include a genuine recognition of education’s frontline insight into children’s lives, a culture of listening where educational perspectives are actively sought and valued, and a shared language that bridges professional boundaries. Trust, transparency, and a willingness to challenge constructively are also essential, enabling education leaders to contribute confidently to strategic discussions. </w:t>
      </w:r>
    </w:p>
    <w:p w14:paraId="1DAE9806" w14:textId="77777777" w:rsidR="00DF37F9" w:rsidRDefault="00DF37F9" w:rsidP="00DF37F9">
      <w:pPr>
        <w:rPr>
          <w:sz w:val="28"/>
          <w:szCs w:val="28"/>
        </w:rPr>
      </w:pPr>
    </w:p>
    <w:p w14:paraId="74A61BAF" w14:textId="020F3D48" w:rsidR="007C4A45" w:rsidRDefault="00DF37F9" w:rsidP="00DF37F9">
      <w:pPr>
        <w:rPr>
          <w:sz w:val="28"/>
          <w:szCs w:val="28"/>
        </w:rPr>
      </w:pPr>
      <w:r w:rsidRPr="00DF37F9">
        <w:rPr>
          <w:sz w:val="28"/>
          <w:szCs w:val="28"/>
        </w:rPr>
        <w:lastRenderedPageBreak/>
        <w:t>Embedding this culture is not only about fairness—it strengthens the partnership’s ability to make informed, child-centred decisions. When education is empowered to shape safeguarding strategy, the result is a more responsive, preventative, and holistic system that better protects children and young people.</w:t>
      </w:r>
    </w:p>
    <w:p w14:paraId="5588AFA8" w14:textId="77777777" w:rsidR="003266AB" w:rsidRDefault="003266AB" w:rsidP="007C4A45">
      <w:pPr>
        <w:rPr>
          <w:sz w:val="28"/>
          <w:szCs w:val="28"/>
        </w:rPr>
      </w:pPr>
    </w:p>
    <w:p w14:paraId="079CFFC9" w14:textId="304798DE" w:rsidR="003266AB" w:rsidRDefault="0074332C" w:rsidP="003266AB">
      <w:pPr>
        <w:spacing w:after="160" w:line="278" w:lineRule="auto"/>
        <w:rPr>
          <w:sz w:val="28"/>
          <w:szCs w:val="28"/>
        </w:rPr>
      </w:pPr>
      <w:r>
        <w:rPr>
          <w:rFonts w:ascii="Aptos Body" w:hAnsi="Aptos Body"/>
          <w:sz w:val="28"/>
          <w:szCs w:val="28"/>
        </w:rPr>
        <w:pict w14:anchorId="44458BEE">
          <v:rect id="_x0000_i1027" style="width:579pt;height:1.5pt" o:hrpct="0" o:hralign="center" o:hrstd="t" o:hrnoshade="t" o:hr="t" fillcolor="#424242" stroked="f"/>
        </w:pict>
      </w:r>
    </w:p>
    <w:p w14:paraId="7C72A5B8" w14:textId="77777777" w:rsidR="0074332C" w:rsidRDefault="0074332C" w:rsidP="003266AB">
      <w:pPr>
        <w:spacing w:after="160" w:line="278" w:lineRule="auto"/>
        <w:rPr>
          <w:b/>
          <w:bCs/>
          <w:sz w:val="28"/>
          <w:szCs w:val="28"/>
        </w:rPr>
      </w:pPr>
    </w:p>
    <w:p w14:paraId="3D19A70E" w14:textId="45C0470D" w:rsidR="003266AB" w:rsidRPr="00FA2404" w:rsidRDefault="003266AB" w:rsidP="003266AB">
      <w:pPr>
        <w:spacing w:after="160" w:line="278" w:lineRule="auto"/>
        <w:rPr>
          <w:b/>
          <w:bCs/>
          <w:sz w:val="28"/>
          <w:szCs w:val="28"/>
        </w:rPr>
      </w:pPr>
      <w:r w:rsidRPr="00FA2404">
        <w:rPr>
          <w:b/>
          <w:bCs/>
          <w:sz w:val="28"/>
          <w:szCs w:val="28"/>
        </w:rPr>
        <w:t>Language</w:t>
      </w:r>
    </w:p>
    <w:p w14:paraId="5FD53E8B" w14:textId="7D574E12" w:rsidR="003266AB" w:rsidRDefault="003266AB" w:rsidP="003266AB">
      <w:pPr>
        <w:rPr>
          <w:sz w:val="28"/>
          <w:szCs w:val="28"/>
        </w:rPr>
      </w:pPr>
      <w:r w:rsidRPr="003266AB">
        <w:rPr>
          <w:sz w:val="28"/>
          <w:szCs w:val="28"/>
        </w:rPr>
        <w:t>All leaders within the partnership must ensure that key documents—including MASA reports, annual reports, websites, and outward-facing communications—explicitly refer to education as an 'equal strategic safeguarding partner.' This terminology recognises the unique and vital role that education plays in safeguarding children.</w:t>
      </w:r>
    </w:p>
    <w:p w14:paraId="654C59B0" w14:textId="77777777" w:rsidR="003266AB" w:rsidRDefault="003266AB" w:rsidP="003266AB">
      <w:pPr>
        <w:spacing w:after="160" w:line="278" w:lineRule="auto"/>
        <w:rPr>
          <w:sz w:val="28"/>
          <w:szCs w:val="28"/>
        </w:rPr>
      </w:pPr>
    </w:p>
    <w:p w14:paraId="741F0A58" w14:textId="464CAA41" w:rsidR="0074332C" w:rsidRDefault="0074332C" w:rsidP="003266AB">
      <w:pPr>
        <w:spacing w:after="160" w:line="278" w:lineRule="auto"/>
        <w:rPr>
          <w:sz w:val="28"/>
          <w:szCs w:val="28"/>
        </w:rPr>
      </w:pPr>
      <w:r>
        <w:rPr>
          <w:rFonts w:ascii="Aptos Body" w:hAnsi="Aptos Body"/>
          <w:sz w:val="28"/>
          <w:szCs w:val="28"/>
        </w:rPr>
        <w:pict w14:anchorId="65DCC79B">
          <v:rect id="_x0000_i1029" style="width:579pt;height:1.5pt" o:hrpct="0" o:hralign="center" o:hrstd="t" o:hrnoshade="t" o:hr="t" fillcolor="#424242" stroked="f"/>
        </w:pict>
      </w:r>
    </w:p>
    <w:p w14:paraId="6C907E68" w14:textId="77777777" w:rsidR="0074332C" w:rsidRDefault="0074332C" w:rsidP="00CA40B1">
      <w:pPr>
        <w:spacing w:after="160" w:line="278" w:lineRule="auto"/>
        <w:rPr>
          <w:b/>
          <w:bCs/>
          <w:sz w:val="28"/>
          <w:szCs w:val="28"/>
        </w:rPr>
      </w:pPr>
    </w:p>
    <w:p w14:paraId="2A0815D6" w14:textId="062C4CF1" w:rsidR="003D598B" w:rsidRPr="00CA40B1" w:rsidRDefault="00122FFB" w:rsidP="00CA40B1">
      <w:pPr>
        <w:spacing w:after="160" w:line="278" w:lineRule="auto"/>
        <w:rPr>
          <w:b/>
          <w:bCs/>
          <w:sz w:val="28"/>
          <w:szCs w:val="28"/>
        </w:rPr>
      </w:pPr>
      <w:r>
        <w:rPr>
          <w:b/>
          <w:bCs/>
          <w:sz w:val="28"/>
          <w:szCs w:val="28"/>
        </w:rPr>
        <w:t>Strategic Representation of Education</w:t>
      </w:r>
    </w:p>
    <w:p w14:paraId="5A6449DB" w14:textId="77777777" w:rsidR="00167583" w:rsidRDefault="00167583" w:rsidP="00167583">
      <w:pPr>
        <w:rPr>
          <w:sz w:val="28"/>
          <w:szCs w:val="28"/>
        </w:rPr>
      </w:pPr>
      <w:r w:rsidRPr="00167583">
        <w:rPr>
          <w:sz w:val="28"/>
          <w:szCs w:val="28"/>
        </w:rPr>
        <w:t xml:space="preserve">Successful partnerships that have achieved strong education engagement have embraced flexibility in representation. While education is not a statutory safeguarding partner—meaning there is no mandated role at the DSP or LSP level—this flexibility creates opportunities for multiple representatives, such as both a local authority (LA) officer and a dedicated education leader. </w:t>
      </w:r>
    </w:p>
    <w:p w14:paraId="3B221174" w14:textId="77777777" w:rsidR="00167583" w:rsidRDefault="00167583" w:rsidP="00167583">
      <w:pPr>
        <w:rPr>
          <w:sz w:val="28"/>
          <w:szCs w:val="28"/>
        </w:rPr>
      </w:pPr>
    </w:p>
    <w:p w14:paraId="28C331D1" w14:textId="1C637C7E" w:rsidR="00093405" w:rsidRPr="00FA2404" w:rsidRDefault="00167583" w:rsidP="0074332C">
      <w:pPr>
        <w:rPr>
          <w:sz w:val="28"/>
          <w:szCs w:val="28"/>
        </w:rPr>
      </w:pPr>
      <w:r w:rsidRPr="00167583">
        <w:rPr>
          <w:sz w:val="28"/>
          <w:szCs w:val="28"/>
        </w:rPr>
        <w:t>In some areas, the Deputy Director for Education, as an LA officer, may face limitations in fully representing the diverse voice of the education sector at the strategic table. This is especially relevant where the majority of local education providers are independent schools or part of multi-academy trusts. In such contexts, appointing a dedicated education leader alongside the LA officer helps ensure a broader, more representative perspective, strengthening the partnership’s ability to make informed, inclusive safeguarding decisions.</w:t>
      </w:r>
    </w:p>
    <w:p w14:paraId="326E1B3E" w14:textId="6F1A2910" w:rsidR="00093405" w:rsidRPr="00FA2404" w:rsidRDefault="0074332C" w:rsidP="007C4A45">
      <w:pPr>
        <w:rPr>
          <w:sz w:val="28"/>
          <w:szCs w:val="28"/>
        </w:rPr>
      </w:pPr>
      <w:r>
        <w:rPr>
          <w:rFonts w:ascii="Aptos Body" w:hAnsi="Aptos Body"/>
          <w:sz w:val="28"/>
          <w:szCs w:val="28"/>
        </w:rPr>
        <w:lastRenderedPageBreak/>
        <w:pict w14:anchorId="7E4E5935">
          <v:rect id="_x0000_i1031" style="width:579pt;height:1.5pt" o:hrpct="0" o:hralign="center" o:hrstd="t" o:hrnoshade="t" o:hr="t" fillcolor="#424242" stroked="f"/>
        </w:pict>
      </w:r>
    </w:p>
    <w:p w14:paraId="3E84BAA3" w14:textId="77777777" w:rsidR="00093405" w:rsidRPr="00FA2404" w:rsidRDefault="00093405" w:rsidP="007C4A45">
      <w:pPr>
        <w:rPr>
          <w:sz w:val="28"/>
          <w:szCs w:val="28"/>
        </w:rPr>
      </w:pPr>
    </w:p>
    <w:p w14:paraId="57C315BE" w14:textId="77777777" w:rsidR="00093405" w:rsidRPr="00FA2404" w:rsidRDefault="00093405" w:rsidP="007C4A45">
      <w:pPr>
        <w:rPr>
          <w:sz w:val="28"/>
          <w:szCs w:val="28"/>
        </w:rPr>
      </w:pPr>
    </w:p>
    <w:p w14:paraId="2F51A5C5" w14:textId="205B53F8" w:rsidR="007C4A45" w:rsidRDefault="00570167" w:rsidP="00932F4E">
      <w:pPr>
        <w:spacing w:after="160" w:line="278" w:lineRule="auto"/>
        <w:rPr>
          <w:b/>
          <w:bCs/>
          <w:sz w:val="28"/>
          <w:szCs w:val="28"/>
        </w:rPr>
      </w:pPr>
      <w:r>
        <w:rPr>
          <w:b/>
          <w:bCs/>
          <w:sz w:val="28"/>
          <w:szCs w:val="28"/>
        </w:rPr>
        <w:t>Delegated Safeguarding Partner for Education</w:t>
      </w:r>
    </w:p>
    <w:p w14:paraId="3D45CF5F" w14:textId="77777777" w:rsidR="00220731" w:rsidRPr="00932F4E" w:rsidRDefault="00220731" w:rsidP="00932F4E">
      <w:pPr>
        <w:spacing w:after="160" w:line="278" w:lineRule="auto"/>
        <w:rPr>
          <w:b/>
          <w:bCs/>
          <w:sz w:val="28"/>
          <w:szCs w:val="28"/>
        </w:rPr>
      </w:pPr>
    </w:p>
    <w:p w14:paraId="2717A9F6" w14:textId="77777777" w:rsidR="00220731" w:rsidRPr="00220731" w:rsidRDefault="00220731" w:rsidP="00220731">
      <w:pPr>
        <w:spacing w:after="160" w:line="278" w:lineRule="auto"/>
        <w:rPr>
          <w:sz w:val="28"/>
          <w:szCs w:val="28"/>
        </w:rPr>
      </w:pPr>
      <w:r w:rsidRPr="00220731">
        <w:rPr>
          <w:sz w:val="28"/>
          <w:szCs w:val="28"/>
        </w:rPr>
        <w:t>Lead Safeguarding Partners (LSPs) and Delegated Safeguarding Partners (DSPs</w:t>
      </w:r>
      <w:r w:rsidRPr="00220731">
        <w:rPr>
          <w:b/>
          <w:bCs/>
          <w:sz w:val="28"/>
          <w:szCs w:val="28"/>
        </w:rPr>
        <w:t>)</w:t>
      </w:r>
      <w:r w:rsidRPr="00220731">
        <w:rPr>
          <w:sz w:val="28"/>
          <w:szCs w:val="28"/>
        </w:rPr>
        <w:t> must determine how education can be meaningfully integrated into high-level decision-making structures. A common starting point is the inclusion of an education representative as a DSP on the safeguarding partnership’s executive committee.</w:t>
      </w:r>
    </w:p>
    <w:p w14:paraId="594EF08D" w14:textId="33D992D5" w:rsidR="00932F4E" w:rsidRDefault="00220731" w:rsidP="00220731">
      <w:pPr>
        <w:spacing w:after="160" w:line="278" w:lineRule="auto"/>
        <w:rPr>
          <w:sz w:val="28"/>
          <w:szCs w:val="28"/>
        </w:rPr>
      </w:pPr>
      <w:r w:rsidRPr="00220731">
        <w:rPr>
          <w:sz w:val="28"/>
          <w:szCs w:val="28"/>
        </w:rPr>
        <w:t xml:space="preserve">To maximise the effectiveness of education in this role, </w:t>
      </w:r>
      <w:r>
        <w:rPr>
          <w:sz w:val="28"/>
          <w:szCs w:val="28"/>
        </w:rPr>
        <w:t>the executive group</w:t>
      </w:r>
      <w:r w:rsidRPr="00220731">
        <w:rPr>
          <w:sz w:val="28"/>
          <w:szCs w:val="28"/>
        </w:rPr>
        <w:t xml:space="preserve"> should give careful consideration to the onboarding and induction process, recognising that this may be a new and unfamiliar space for many education leaders. For instance, if statutory partners routinely provide updates during </w:t>
      </w:r>
      <w:r>
        <w:rPr>
          <w:sz w:val="28"/>
          <w:szCs w:val="28"/>
        </w:rPr>
        <w:t>e</w:t>
      </w:r>
      <w:r w:rsidRPr="00220731">
        <w:rPr>
          <w:sz w:val="28"/>
          <w:szCs w:val="28"/>
        </w:rPr>
        <w:t xml:space="preserve">xecutive </w:t>
      </w:r>
      <w:r>
        <w:rPr>
          <w:sz w:val="28"/>
          <w:szCs w:val="28"/>
        </w:rPr>
        <w:t>m</w:t>
      </w:r>
      <w:r w:rsidRPr="00220731">
        <w:rPr>
          <w:sz w:val="28"/>
          <w:szCs w:val="28"/>
        </w:rPr>
        <w:t>eetings, education should also be invited to share sector-specific insights. Additionally, aligning meeting schedules with school term times is essential to support consistent and meaningful participation.</w:t>
      </w:r>
    </w:p>
    <w:p w14:paraId="6203E23B" w14:textId="77777777" w:rsidR="00220731" w:rsidRDefault="00220731" w:rsidP="00220731">
      <w:pPr>
        <w:spacing w:after="160" w:line="278" w:lineRule="auto"/>
        <w:rPr>
          <w:sz w:val="28"/>
          <w:szCs w:val="28"/>
        </w:rPr>
      </w:pPr>
    </w:p>
    <w:p w14:paraId="68E8284E" w14:textId="527A9627" w:rsidR="0074332C" w:rsidRDefault="0074332C" w:rsidP="00220731">
      <w:pPr>
        <w:spacing w:after="160" w:line="278" w:lineRule="auto"/>
        <w:rPr>
          <w:sz w:val="28"/>
          <w:szCs w:val="28"/>
        </w:rPr>
      </w:pPr>
      <w:r>
        <w:rPr>
          <w:rFonts w:ascii="Aptos Body" w:hAnsi="Aptos Body"/>
          <w:sz w:val="28"/>
          <w:szCs w:val="28"/>
        </w:rPr>
        <w:pict w14:anchorId="4F345B72">
          <v:rect id="_x0000_i1033" style="width:579pt;height:1.5pt" o:hrpct="0" o:hralign="center" o:hrstd="t" o:hrnoshade="t" o:hr="t" fillcolor="#424242" stroked="f"/>
        </w:pict>
      </w:r>
    </w:p>
    <w:p w14:paraId="35852049" w14:textId="77777777" w:rsidR="0074332C" w:rsidRDefault="0074332C" w:rsidP="00220731">
      <w:pPr>
        <w:spacing w:after="160" w:line="278" w:lineRule="auto"/>
        <w:rPr>
          <w:sz w:val="28"/>
          <w:szCs w:val="28"/>
        </w:rPr>
      </w:pPr>
    </w:p>
    <w:p w14:paraId="545D3C6C" w14:textId="54DA0B7E" w:rsidR="007C4A45" w:rsidRPr="00932F4E" w:rsidRDefault="007C4A45" w:rsidP="00932F4E">
      <w:pPr>
        <w:spacing w:after="160" w:line="278" w:lineRule="auto"/>
        <w:rPr>
          <w:b/>
          <w:bCs/>
          <w:sz w:val="28"/>
          <w:szCs w:val="28"/>
        </w:rPr>
      </w:pPr>
      <w:r w:rsidRPr="00932F4E">
        <w:rPr>
          <w:b/>
          <w:bCs/>
          <w:sz w:val="28"/>
          <w:szCs w:val="28"/>
        </w:rPr>
        <w:t>Sub-Group vs. Direct Representatio</w:t>
      </w:r>
      <w:r w:rsidR="00B0121F">
        <w:rPr>
          <w:b/>
          <w:bCs/>
          <w:sz w:val="28"/>
          <w:szCs w:val="28"/>
        </w:rPr>
        <w:t>n</w:t>
      </w:r>
    </w:p>
    <w:p w14:paraId="446B812C" w14:textId="77777777" w:rsidR="00686446" w:rsidRDefault="00686446" w:rsidP="007C4A45">
      <w:pPr>
        <w:rPr>
          <w:sz w:val="28"/>
          <w:szCs w:val="28"/>
        </w:rPr>
      </w:pPr>
    </w:p>
    <w:p w14:paraId="7F45A02A" w14:textId="671BAD8C" w:rsidR="00AC17FE" w:rsidRPr="00392D5D" w:rsidRDefault="00392D5D" w:rsidP="00392D5D">
      <w:pPr>
        <w:rPr>
          <w:sz w:val="28"/>
          <w:szCs w:val="28"/>
        </w:rPr>
      </w:pPr>
      <w:r w:rsidRPr="00392D5D">
        <w:rPr>
          <w:sz w:val="28"/>
          <w:szCs w:val="28"/>
        </w:rPr>
        <w:t>Safeguarding partnerships typically adopt one of two models for education representation</w:t>
      </w:r>
      <w:r w:rsidR="0074332C">
        <w:rPr>
          <w:sz w:val="28"/>
          <w:szCs w:val="28"/>
        </w:rPr>
        <w:t>:</w:t>
      </w:r>
    </w:p>
    <w:p w14:paraId="35ECB901" w14:textId="77777777" w:rsidR="00392D5D" w:rsidRPr="00FA2404" w:rsidRDefault="00392D5D" w:rsidP="00392D5D">
      <w:pPr>
        <w:rPr>
          <w:sz w:val="28"/>
          <w:szCs w:val="28"/>
        </w:rPr>
      </w:pPr>
    </w:p>
    <w:p w14:paraId="45006345" w14:textId="77777777" w:rsidR="00380C14" w:rsidRPr="00380C14" w:rsidRDefault="007C4A45" w:rsidP="00380C14">
      <w:pPr>
        <w:spacing w:after="160" w:line="278" w:lineRule="auto"/>
        <w:rPr>
          <w:sz w:val="28"/>
          <w:szCs w:val="28"/>
        </w:rPr>
      </w:pPr>
      <w:r w:rsidRPr="00AA7B7B">
        <w:rPr>
          <w:b/>
          <w:bCs/>
          <w:sz w:val="28"/>
          <w:szCs w:val="28"/>
        </w:rPr>
        <w:t xml:space="preserve">Education </w:t>
      </w:r>
      <w:r w:rsidR="00392D5D">
        <w:rPr>
          <w:b/>
          <w:bCs/>
          <w:sz w:val="28"/>
          <w:szCs w:val="28"/>
        </w:rPr>
        <w:t>Committee</w:t>
      </w:r>
      <w:r w:rsidRPr="00AA7B7B">
        <w:rPr>
          <w:sz w:val="28"/>
          <w:szCs w:val="28"/>
        </w:rPr>
        <w:br/>
      </w:r>
      <w:r w:rsidR="00380C14" w:rsidRPr="00380C14">
        <w:rPr>
          <w:sz w:val="28"/>
          <w:szCs w:val="28"/>
        </w:rPr>
        <w:t xml:space="preserve">This model establishes a dedicated group of education professionals responsible for safeguarding at both strategic and operational levels. Its </w:t>
      </w:r>
      <w:r w:rsidR="00380C14" w:rsidRPr="00380C14">
        <w:rPr>
          <w:sz w:val="28"/>
          <w:szCs w:val="28"/>
        </w:rPr>
        <w:lastRenderedPageBreak/>
        <w:t>primary objective is to bring together the collective voice of the education sector, ensuring broad and balanced representation.</w:t>
      </w:r>
    </w:p>
    <w:p w14:paraId="3AED2F66" w14:textId="77777777" w:rsidR="00380C14" w:rsidRPr="00380C14" w:rsidRDefault="00380C14" w:rsidP="00380C14">
      <w:pPr>
        <w:spacing w:after="160" w:line="278" w:lineRule="auto"/>
        <w:rPr>
          <w:sz w:val="28"/>
          <w:szCs w:val="28"/>
        </w:rPr>
      </w:pPr>
      <w:r w:rsidRPr="00380C14">
        <w:rPr>
          <w:sz w:val="28"/>
          <w:szCs w:val="28"/>
        </w:rPr>
        <w:t>Membership should include both local authority (LA) officers and independent education leaders, with each member representing a specific sub-sector—such as early years, primary, secondary, special education, further education, independent schools, and alternative provision. Each representative is expected to gather insights from their respective networks—such as local headteacher forums or school improvement partnerships—and present a collective viewpoint rather than individual opinions.</w:t>
      </w:r>
    </w:p>
    <w:p w14:paraId="38403405" w14:textId="77777777" w:rsidR="00380C14" w:rsidRPr="00380C14" w:rsidRDefault="00380C14" w:rsidP="00380C14">
      <w:pPr>
        <w:spacing w:after="160" w:line="278" w:lineRule="auto"/>
        <w:rPr>
          <w:sz w:val="28"/>
          <w:szCs w:val="28"/>
        </w:rPr>
      </w:pPr>
      <w:r w:rsidRPr="00380C14">
        <w:rPr>
          <w:sz w:val="28"/>
          <w:szCs w:val="28"/>
        </w:rPr>
        <w:t>Successful partnerships using this model ensure clear and direct lines of communication between frontline education safeguarding practitioners and strategic leaders. To support continuous feedback and engagement, safeguarding discussions should be embedded within existing education forums and structures.</w:t>
      </w:r>
    </w:p>
    <w:p w14:paraId="746961A8" w14:textId="12188719" w:rsidR="00B43E16" w:rsidRPr="00FA2404" w:rsidRDefault="00B43E16" w:rsidP="00380C14">
      <w:pPr>
        <w:spacing w:after="160" w:line="278" w:lineRule="auto"/>
        <w:rPr>
          <w:sz w:val="28"/>
          <w:szCs w:val="28"/>
        </w:rPr>
      </w:pPr>
    </w:p>
    <w:p w14:paraId="1E2D2CB9" w14:textId="7DBB4ED2" w:rsidR="00D114D1" w:rsidRPr="00D114D1" w:rsidRDefault="007C4A45" w:rsidP="00675DEA">
      <w:pPr>
        <w:spacing w:after="160" w:line="278" w:lineRule="auto"/>
        <w:rPr>
          <w:sz w:val="28"/>
          <w:szCs w:val="28"/>
        </w:rPr>
      </w:pPr>
      <w:r w:rsidRPr="00AA7B7B">
        <w:rPr>
          <w:b/>
          <w:bCs/>
          <w:sz w:val="28"/>
          <w:szCs w:val="28"/>
        </w:rPr>
        <w:t>Direct Representation</w:t>
      </w:r>
      <w:r w:rsidRPr="00AA7B7B">
        <w:rPr>
          <w:sz w:val="28"/>
          <w:szCs w:val="28"/>
        </w:rPr>
        <w:br/>
      </w:r>
      <w:r w:rsidR="00D114D1" w:rsidRPr="00D114D1">
        <w:rPr>
          <w:sz w:val="28"/>
          <w:szCs w:val="28"/>
        </w:rPr>
        <w:t xml:space="preserve">A group of education leaders represents the sector at the strategic decision-making level within the safeguarding partnership. </w:t>
      </w:r>
      <w:r w:rsidR="00675DEA" w:rsidRPr="00675DEA">
        <w:rPr>
          <w:sz w:val="28"/>
          <w:szCs w:val="28"/>
        </w:rPr>
        <w:t>When attending committee meetings that feed directly into executive meetings, typically one or two representatives participate.</w:t>
      </w:r>
      <w:r w:rsidR="00D114D1" w:rsidRPr="00D114D1">
        <w:rPr>
          <w:sz w:val="28"/>
          <w:szCs w:val="28"/>
        </w:rPr>
        <w:t xml:space="preserve"> Representation is often shared between local authority (LA) officers and independent education professionals with safeguarding responsibilities. These individuals are responsible for maintaining ongoing communication with colleagues across education </w:t>
      </w:r>
      <w:r w:rsidR="00EE0E11">
        <w:rPr>
          <w:sz w:val="28"/>
          <w:szCs w:val="28"/>
        </w:rPr>
        <w:t>establishment</w:t>
      </w:r>
      <w:r w:rsidR="00D114D1" w:rsidRPr="00D114D1">
        <w:rPr>
          <w:sz w:val="28"/>
          <w:szCs w:val="28"/>
        </w:rPr>
        <w:t>s to ensure they reflect a broad, collective voice rather than individual perspectives.</w:t>
      </w:r>
    </w:p>
    <w:p w14:paraId="46197725" w14:textId="77777777" w:rsidR="00D114D1" w:rsidRPr="00D114D1" w:rsidRDefault="00D114D1" w:rsidP="00D114D1">
      <w:pPr>
        <w:spacing w:after="160" w:line="278" w:lineRule="auto"/>
        <w:rPr>
          <w:sz w:val="28"/>
          <w:szCs w:val="28"/>
        </w:rPr>
      </w:pPr>
      <w:r w:rsidRPr="00D114D1">
        <w:rPr>
          <w:sz w:val="28"/>
          <w:szCs w:val="28"/>
        </w:rPr>
        <w:t xml:space="preserve">Partnerships that have successfully adopted this model often assign representatives to specific sub-sections of the education sector. This approach helps establish direct feedback loops between frontline </w:t>
      </w:r>
      <w:r w:rsidRPr="00D114D1">
        <w:rPr>
          <w:sz w:val="28"/>
          <w:szCs w:val="28"/>
        </w:rPr>
        <w:lastRenderedPageBreak/>
        <w:t>education safeguarding practitioners and strategic leaders, strengthening the partnership’s responsiveness and inclusivity.</w:t>
      </w:r>
    </w:p>
    <w:p w14:paraId="33E59518" w14:textId="59FC9A49" w:rsidR="00B43E16" w:rsidRPr="00FA2404" w:rsidRDefault="00B43E16" w:rsidP="00D114D1">
      <w:pPr>
        <w:spacing w:after="160" w:line="278" w:lineRule="auto"/>
        <w:rPr>
          <w:sz w:val="28"/>
          <w:szCs w:val="28"/>
        </w:rPr>
      </w:pPr>
    </w:p>
    <w:p w14:paraId="44E23597" w14:textId="77777777" w:rsidR="007C4A45" w:rsidRPr="00AA7B7B" w:rsidRDefault="007C4A45" w:rsidP="00AA7B7B">
      <w:pPr>
        <w:spacing w:after="160" w:line="278" w:lineRule="auto"/>
        <w:rPr>
          <w:b/>
          <w:bCs/>
          <w:sz w:val="28"/>
          <w:szCs w:val="28"/>
        </w:rPr>
      </w:pPr>
      <w:r w:rsidRPr="00AA7B7B">
        <w:rPr>
          <w:b/>
          <w:bCs/>
          <w:sz w:val="28"/>
          <w:szCs w:val="28"/>
        </w:rPr>
        <w:t>Selecting the Right Model</w:t>
      </w:r>
    </w:p>
    <w:p w14:paraId="368980EB" w14:textId="77777777" w:rsidR="006E3DF2" w:rsidRDefault="006E3DF2" w:rsidP="006E3DF2">
      <w:pPr>
        <w:rPr>
          <w:sz w:val="28"/>
          <w:szCs w:val="28"/>
        </w:rPr>
      </w:pPr>
      <w:r w:rsidRPr="006E3DF2">
        <w:rPr>
          <w:sz w:val="28"/>
          <w:szCs w:val="28"/>
        </w:rPr>
        <w:t>The decision to implement either model should be informed by:</w:t>
      </w:r>
    </w:p>
    <w:p w14:paraId="75438F4F" w14:textId="77777777" w:rsidR="006E3DF2" w:rsidRPr="006E3DF2" w:rsidRDefault="006E3DF2" w:rsidP="006E3DF2">
      <w:pPr>
        <w:rPr>
          <w:sz w:val="28"/>
          <w:szCs w:val="28"/>
        </w:rPr>
      </w:pPr>
    </w:p>
    <w:p w14:paraId="54239268" w14:textId="77777777" w:rsidR="006E3DF2" w:rsidRPr="006E3DF2" w:rsidRDefault="006E3DF2" w:rsidP="006E3DF2">
      <w:pPr>
        <w:numPr>
          <w:ilvl w:val="0"/>
          <w:numId w:val="29"/>
        </w:numPr>
        <w:rPr>
          <w:sz w:val="28"/>
          <w:szCs w:val="28"/>
        </w:rPr>
      </w:pPr>
      <w:r w:rsidRPr="006E3DF2">
        <w:rPr>
          <w:sz w:val="28"/>
          <w:szCs w:val="28"/>
        </w:rPr>
        <w:t>The local education landscape</w:t>
      </w:r>
    </w:p>
    <w:p w14:paraId="73B49438" w14:textId="77777777" w:rsidR="006E3DF2" w:rsidRPr="006E3DF2" w:rsidRDefault="006E3DF2" w:rsidP="006E3DF2">
      <w:pPr>
        <w:numPr>
          <w:ilvl w:val="0"/>
          <w:numId w:val="29"/>
        </w:numPr>
        <w:rPr>
          <w:sz w:val="28"/>
          <w:szCs w:val="28"/>
        </w:rPr>
      </w:pPr>
      <w:r w:rsidRPr="006E3DF2">
        <w:rPr>
          <w:sz w:val="28"/>
          <w:szCs w:val="28"/>
        </w:rPr>
        <w:t>The existing education governance structure</w:t>
      </w:r>
    </w:p>
    <w:p w14:paraId="71A70C85" w14:textId="77777777" w:rsidR="006E3DF2" w:rsidRDefault="006E3DF2" w:rsidP="006E3DF2">
      <w:pPr>
        <w:numPr>
          <w:ilvl w:val="0"/>
          <w:numId w:val="29"/>
        </w:numPr>
        <w:rPr>
          <w:sz w:val="28"/>
          <w:szCs w:val="28"/>
        </w:rPr>
      </w:pPr>
      <w:r w:rsidRPr="006E3DF2">
        <w:rPr>
          <w:sz w:val="28"/>
          <w:szCs w:val="28"/>
        </w:rPr>
        <w:t>The views of both partnership executives and education leaders</w:t>
      </w:r>
    </w:p>
    <w:p w14:paraId="1230BC9D" w14:textId="77777777" w:rsidR="00786FAA" w:rsidRDefault="00786FAA" w:rsidP="00786FAA">
      <w:pPr>
        <w:rPr>
          <w:sz w:val="28"/>
          <w:szCs w:val="28"/>
        </w:rPr>
      </w:pPr>
    </w:p>
    <w:p w14:paraId="5F09405B" w14:textId="6DA84596" w:rsidR="00786FAA" w:rsidRDefault="00786FAA" w:rsidP="00786FAA">
      <w:pPr>
        <w:rPr>
          <w:sz w:val="28"/>
          <w:szCs w:val="28"/>
        </w:rPr>
      </w:pPr>
      <w:r>
        <w:rPr>
          <w:rFonts w:ascii="Aptos Body" w:hAnsi="Aptos Body"/>
          <w:sz w:val="28"/>
          <w:szCs w:val="28"/>
        </w:rPr>
        <w:pict w14:anchorId="00F6C60B">
          <v:rect id="_x0000_i1035" style="width:579pt;height:1.5pt" o:hrpct="0" o:hralign="center" o:hrstd="t" o:hrnoshade="t" o:hr="t" fillcolor="#424242" stroked="f"/>
        </w:pict>
      </w:r>
    </w:p>
    <w:p w14:paraId="4591E05C" w14:textId="77777777" w:rsidR="006E3DF2" w:rsidRPr="006E3DF2" w:rsidRDefault="006E3DF2" w:rsidP="006E3DF2">
      <w:pPr>
        <w:ind w:left="720"/>
        <w:rPr>
          <w:sz w:val="28"/>
          <w:szCs w:val="28"/>
        </w:rPr>
      </w:pPr>
    </w:p>
    <w:p w14:paraId="09C022CB" w14:textId="77777777" w:rsidR="00786FAA" w:rsidRDefault="00786FAA" w:rsidP="006E3DF2">
      <w:pPr>
        <w:rPr>
          <w:sz w:val="28"/>
          <w:szCs w:val="28"/>
        </w:rPr>
      </w:pPr>
    </w:p>
    <w:p w14:paraId="309844FA" w14:textId="6B82889F" w:rsidR="006E3DF2" w:rsidRDefault="006E3DF2" w:rsidP="006E3DF2">
      <w:pPr>
        <w:rPr>
          <w:sz w:val="28"/>
          <w:szCs w:val="28"/>
        </w:rPr>
      </w:pPr>
      <w:r w:rsidRPr="006E3DF2">
        <w:rPr>
          <w:sz w:val="28"/>
          <w:szCs w:val="28"/>
        </w:rPr>
        <w:t>Partnerships that co-create their engagement model with education stakeholders tend to experience higher levels of participation, stronger mutual understanding, and greater recognition of education’s unique role in safeguarding.</w:t>
      </w:r>
    </w:p>
    <w:p w14:paraId="5C01F53B" w14:textId="77777777" w:rsidR="00096811" w:rsidRPr="006E3DF2" w:rsidRDefault="00096811" w:rsidP="006E3DF2">
      <w:pPr>
        <w:rPr>
          <w:sz w:val="28"/>
          <w:szCs w:val="28"/>
        </w:rPr>
      </w:pPr>
    </w:p>
    <w:p w14:paraId="34EAB9DD" w14:textId="08B46A18" w:rsidR="007C4A45" w:rsidRPr="00FA2404" w:rsidRDefault="006E3DF2" w:rsidP="006E3DF2">
      <w:pPr>
        <w:rPr>
          <w:sz w:val="28"/>
          <w:szCs w:val="28"/>
        </w:rPr>
      </w:pPr>
      <w:r w:rsidRPr="006E3DF2">
        <w:rPr>
          <w:sz w:val="28"/>
          <w:szCs w:val="28"/>
        </w:rPr>
        <w:t>For support and advice on embedding the meaningful voice and influence of education within multi-agency safeguarding partner arrangements, please contact Nicola Griffiths</w:t>
      </w:r>
      <w:r>
        <w:rPr>
          <w:sz w:val="28"/>
          <w:szCs w:val="28"/>
        </w:rPr>
        <w:t xml:space="preserve"> </w:t>
      </w:r>
      <w:r w:rsidR="00AA7B7B">
        <w:rPr>
          <w:sz w:val="28"/>
          <w:szCs w:val="28"/>
        </w:rPr>
        <w:t>(N</w:t>
      </w:r>
      <w:r w:rsidR="00E13882">
        <w:rPr>
          <w:sz w:val="28"/>
          <w:szCs w:val="28"/>
        </w:rPr>
        <w:t xml:space="preserve">orth </w:t>
      </w:r>
      <w:r w:rsidR="00AA7B7B">
        <w:rPr>
          <w:sz w:val="28"/>
          <w:szCs w:val="28"/>
        </w:rPr>
        <w:t>W</w:t>
      </w:r>
      <w:r w:rsidR="00E13882">
        <w:rPr>
          <w:sz w:val="28"/>
          <w:szCs w:val="28"/>
        </w:rPr>
        <w:t>est</w:t>
      </w:r>
      <w:r w:rsidR="00AA7B7B">
        <w:rPr>
          <w:sz w:val="28"/>
          <w:szCs w:val="28"/>
        </w:rPr>
        <w:t xml:space="preserve"> Strategic Voice &amp; Influence of Education Lead</w:t>
      </w:r>
      <w:r w:rsidR="00957914">
        <w:rPr>
          <w:sz w:val="28"/>
          <w:szCs w:val="28"/>
        </w:rPr>
        <w:t xml:space="preserve">) at </w:t>
      </w:r>
      <w:hyperlink r:id="rId7" w:history="1">
        <w:r w:rsidR="00957914" w:rsidRPr="007B03A5">
          <w:rPr>
            <w:rStyle w:val="Hyperlink"/>
            <w:sz w:val="28"/>
            <w:szCs w:val="28"/>
          </w:rPr>
          <w:t>nicola.griffiths@stockport.gov.uk</w:t>
        </w:r>
      </w:hyperlink>
      <w:r w:rsidR="00957914">
        <w:rPr>
          <w:sz w:val="28"/>
          <w:szCs w:val="28"/>
        </w:rPr>
        <w:t>.</w:t>
      </w:r>
    </w:p>
    <w:p w14:paraId="2BE928B5" w14:textId="77777777" w:rsidR="007C4A45" w:rsidRPr="00FA2404" w:rsidRDefault="007C4A45" w:rsidP="007C4A45">
      <w:pPr>
        <w:rPr>
          <w:sz w:val="28"/>
          <w:szCs w:val="28"/>
        </w:rPr>
      </w:pPr>
    </w:p>
    <w:p w14:paraId="0D691BC6" w14:textId="43CD9177" w:rsidR="0003102F" w:rsidRPr="00FA2404" w:rsidRDefault="0003102F" w:rsidP="007C4A45">
      <w:pPr>
        <w:rPr>
          <w:sz w:val="28"/>
          <w:szCs w:val="28"/>
        </w:rPr>
      </w:pPr>
    </w:p>
    <w:sectPr w:rsidR="0003102F" w:rsidRPr="00FA2404" w:rsidSect="005C4401">
      <w:headerReference w:type="default" r:id="rId8"/>
      <w:footerReference w:type="default" r:id="rId9"/>
      <w:pgSz w:w="11906" w:h="16838"/>
      <w:pgMar w:top="2268" w:right="1440" w:bottom="1588"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686EC9" w14:textId="77777777" w:rsidR="00320359" w:rsidRDefault="00320359" w:rsidP="00977603">
      <w:r>
        <w:separator/>
      </w:r>
    </w:p>
  </w:endnote>
  <w:endnote w:type="continuationSeparator" w:id="0">
    <w:p w14:paraId="1BD761BD" w14:textId="77777777" w:rsidR="00320359" w:rsidRDefault="00320359" w:rsidP="009776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ontserrat">
    <w:charset w:val="00"/>
    <w:family w:val="auto"/>
    <w:pitch w:val="variable"/>
    <w:sig w:usb0="2000020F" w:usb1="00000003" w:usb2="00000000" w:usb3="00000000" w:csb0="00000197" w:csb1="00000000"/>
  </w:font>
  <w:font w:name="Aptos Body">
    <w:altName w:val="Calibri"/>
    <w:panose1 w:val="00000000000000000000"/>
    <w:charset w:val="00"/>
    <w:family w:val="roman"/>
    <w:notTrueType/>
    <w:pitch w:val="default"/>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211A3E" w14:textId="02B7E371" w:rsidR="00D42F5F" w:rsidRPr="00965B47" w:rsidRDefault="005737CC" w:rsidP="005737CC">
    <w:pPr>
      <w:pStyle w:val="Footer"/>
      <w:rPr>
        <w:sz w:val="22"/>
        <w:szCs w:val="22"/>
      </w:rPr>
    </w:pPr>
    <w:r w:rsidRPr="00AD1207">
      <w:rPr>
        <w:rFonts w:ascii="Montserrat" w:hAnsi="Montserrat"/>
        <w:noProof/>
      </w:rPr>
      <w:drawing>
        <wp:anchor distT="0" distB="0" distL="114300" distR="114300" simplePos="0" relativeHeight="251667456" behindDoc="1" locked="0" layoutInCell="1" allowOverlap="1" wp14:anchorId="6DDA140A" wp14:editId="1E6A5064">
          <wp:simplePos x="0" y="0"/>
          <wp:positionH relativeFrom="column">
            <wp:posOffset>-836006</wp:posOffset>
          </wp:positionH>
          <wp:positionV relativeFrom="paragraph">
            <wp:posOffset>42289</wp:posOffset>
          </wp:positionV>
          <wp:extent cx="1033780" cy="638175"/>
          <wp:effectExtent l="0" t="0" r="0" b="9525"/>
          <wp:wrapTight wrapText="bothSides">
            <wp:wrapPolygon edited="0">
              <wp:start x="0" y="0"/>
              <wp:lineTo x="0" y="21278"/>
              <wp:lineTo x="21096" y="21278"/>
              <wp:lineTo x="21096" y="0"/>
              <wp:lineTo x="0" y="0"/>
            </wp:wrapPolygon>
          </wp:wrapTight>
          <wp:docPr id="993796582" name="Picture 1" descr="A logo with a coat of arms and a crow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3796582" name="Picture 1" descr="A logo with a coat of arms and a crown&#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033780" cy="638175"/>
                  </a:xfrm>
                  <a:prstGeom prst="rect">
                    <a:avLst/>
                  </a:prstGeom>
                </pic:spPr>
              </pic:pic>
            </a:graphicData>
          </a:graphic>
          <wp14:sizeRelH relativeFrom="margin">
            <wp14:pctWidth>0</wp14:pctWidth>
          </wp14:sizeRelH>
          <wp14:sizeRelV relativeFrom="margin">
            <wp14:pctHeight>0</wp14:pctHeight>
          </wp14:sizeRelV>
        </wp:anchor>
      </w:drawing>
    </w:r>
    <w:r w:rsidR="00D42F5F">
      <w:rPr>
        <w:noProof/>
      </w:rPr>
      <w:drawing>
        <wp:anchor distT="0" distB="0" distL="114300" distR="114300" simplePos="0" relativeHeight="251658240" behindDoc="0" locked="0" layoutInCell="1" allowOverlap="1" wp14:anchorId="09978E96" wp14:editId="7CF8F728">
          <wp:simplePos x="0" y="0"/>
          <wp:positionH relativeFrom="column">
            <wp:posOffset>4461510</wp:posOffset>
          </wp:positionH>
          <wp:positionV relativeFrom="paragraph">
            <wp:posOffset>130175</wp:posOffset>
          </wp:positionV>
          <wp:extent cx="2058670" cy="505460"/>
          <wp:effectExtent l="0" t="0" r="0" b="8890"/>
          <wp:wrapSquare wrapText="bothSides"/>
          <wp:docPr id="32891062" name="Picture 2" descr="A black background with blu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891062" name="Picture 2" descr="A black background with blue text&#10;&#10;Description automatically generated"/>
                  <pic:cNvPicPr/>
                </pic:nvPicPr>
                <pic:blipFill rotWithShape="1">
                  <a:blip r:embed="rId2">
                    <a:extLst>
                      <a:ext uri="{28A0092B-C50C-407E-A947-70E740481C1C}">
                        <a14:useLocalDpi xmlns:a14="http://schemas.microsoft.com/office/drawing/2010/main" val="0"/>
                      </a:ext>
                    </a:extLst>
                  </a:blip>
                  <a:srcRect t="20005" b="30915"/>
                  <a:stretch/>
                </pic:blipFill>
                <pic:spPr bwMode="auto">
                  <a:xfrm>
                    <a:off x="0" y="0"/>
                    <a:ext cx="2058670" cy="50546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F61A53">
      <w:t xml:space="preserve"> </w:t>
    </w:r>
  </w:p>
  <w:p w14:paraId="7E5B1879" w14:textId="349AE39F" w:rsidR="00977603" w:rsidRDefault="005737CC">
    <w:pPr>
      <w:pStyle w:val="Footer"/>
    </w:pPr>
    <w:r>
      <w:rPr>
        <w:noProof/>
      </w:rPr>
      <w:drawing>
        <wp:anchor distT="0" distB="0" distL="114300" distR="114300" simplePos="0" relativeHeight="251666432" behindDoc="0" locked="0" layoutInCell="1" allowOverlap="1" wp14:anchorId="40114AD4" wp14:editId="1FD9A6B5">
          <wp:simplePos x="0" y="0"/>
          <wp:positionH relativeFrom="column">
            <wp:posOffset>313055</wp:posOffset>
          </wp:positionH>
          <wp:positionV relativeFrom="paragraph">
            <wp:posOffset>11430</wp:posOffset>
          </wp:positionV>
          <wp:extent cx="1383665" cy="495300"/>
          <wp:effectExtent l="0" t="0" r="6985" b="0"/>
          <wp:wrapSquare wrapText="bothSides"/>
          <wp:docPr id="1212692567" name="Picture 3" descr="A close-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2692567" name="Picture 3" descr="A close-up of a logo&#10;&#10;Description automatically generated"/>
                  <pic:cNvPicPr/>
                </pic:nvPicPr>
                <pic:blipFill>
                  <a:blip r:embed="rId3">
                    <a:extLst>
                      <a:ext uri="{28A0092B-C50C-407E-A947-70E740481C1C}">
                        <a14:useLocalDpi xmlns:a14="http://schemas.microsoft.com/office/drawing/2010/main" val="0"/>
                      </a:ext>
                    </a:extLst>
                  </a:blip>
                  <a:stretch>
                    <a:fillRect/>
                  </a:stretch>
                </pic:blipFill>
                <pic:spPr>
                  <a:xfrm>
                    <a:off x="0" y="0"/>
                    <a:ext cx="1383665" cy="495300"/>
                  </a:xfrm>
                  <a:prstGeom prst="rect">
                    <a:avLst/>
                  </a:prstGeom>
                </pic:spPr>
              </pic:pic>
            </a:graphicData>
          </a:graphic>
          <wp14:sizeRelH relativeFrom="margin">
            <wp14:pctWidth>0</wp14:pctWidth>
          </wp14:sizeRelH>
          <wp14:sizeRelV relativeFrom="margin">
            <wp14:pctHeight>0</wp14:pctHeight>
          </wp14:sizeRelV>
        </wp:anchor>
      </w:drawing>
    </w:r>
  </w:p>
  <w:p w14:paraId="3C493581" w14:textId="03BDC5CC" w:rsidR="00F61A53" w:rsidRDefault="00D42F5F">
    <w:pPr>
      <w:pStyle w:val="Footer"/>
    </w:pPr>
    <w:r>
      <w:rPr>
        <w:noProof/>
      </w:rPr>
      <mc:AlternateContent>
        <mc:Choice Requires="wps">
          <w:drawing>
            <wp:anchor distT="0" distB="0" distL="114300" distR="114300" simplePos="0" relativeHeight="251662336" behindDoc="0" locked="0" layoutInCell="1" allowOverlap="1" wp14:anchorId="298CAC98" wp14:editId="7F93C7F0">
              <wp:simplePos x="0" y="0"/>
              <wp:positionH relativeFrom="page">
                <wp:posOffset>-65108</wp:posOffset>
              </wp:positionH>
              <wp:positionV relativeFrom="paragraph">
                <wp:posOffset>405196</wp:posOffset>
              </wp:positionV>
              <wp:extent cx="7550150" cy="228600"/>
              <wp:effectExtent l="0" t="0" r="12700" b="19050"/>
              <wp:wrapNone/>
              <wp:docPr id="774401071" name="Rectangle 5"/>
              <wp:cNvGraphicFramePr/>
              <a:graphic xmlns:a="http://schemas.openxmlformats.org/drawingml/2006/main">
                <a:graphicData uri="http://schemas.microsoft.com/office/word/2010/wordprocessingShape">
                  <wps:wsp>
                    <wps:cNvSpPr/>
                    <wps:spPr>
                      <a:xfrm>
                        <a:off x="0" y="0"/>
                        <a:ext cx="7550150" cy="228600"/>
                      </a:xfrm>
                      <a:prstGeom prst="rect">
                        <a:avLst/>
                      </a:prstGeom>
                      <a:solidFill>
                        <a:srgbClr val="26547C"/>
                      </a:solidFill>
                      <a:ln>
                        <a:solidFill>
                          <a:srgbClr val="26547C"/>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A627673" id="Rectangle 5" o:spid="_x0000_s1026" style="position:absolute;margin-left:-5.15pt;margin-top:31.9pt;width:594.5pt;height:18pt;z-index:251662336;visibility:visible;mso-wrap-style:square;mso-wrap-distance-left:9pt;mso-wrap-distance-top:0;mso-wrap-distance-right:9pt;mso-wrap-distance-bottom:0;mso-position-horizontal:absolute;mso-position-horizontal-relative:page;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" fillcolor="#26547c" strokecolor="#26547c" strokeweight="1pt">
              <w10:wrap anchorx="page"/>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9B172F" w14:textId="77777777" w:rsidR="00320359" w:rsidRDefault="00320359" w:rsidP="00977603">
      <w:r>
        <w:separator/>
      </w:r>
    </w:p>
  </w:footnote>
  <w:footnote w:type="continuationSeparator" w:id="0">
    <w:p w14:paraId="396F57C9" w14:textId="77777777" w:rsidR="00320359" w:rsidRDefault="00320359" w:rsidP="0097760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C78423" w14:textId="3B1F2352" w:rsidR="00977603" w:rsidRDefault="00A1583B">
    <w:pPr>
      <w:pStyle w:val="Header"/>
    </w:pPr>
    <w:r>
      <w:rPr>
        <w:noProof/>
      </w:rPr>
      <w:drawing>
        <wp:anchor distT="0" distB="0" distL="114300" distR="114300" simplePos="0" relativeHeight="251669504" behindDoc="0" locked="0" layoutInCell="1" allowOverlap="1" wp14:anchorId="63E284E1" wp14:editId="163FD355">
          <wp:simplePos x="0" y="0"/>
          <wp:positionH relativeFrom="column">
            <wp:posOffset>-904875</wp:posOffset>
          </wp:positionH>
          <wp:positionV relativeFrom="paragraph">
            <wp:posOffset>-221615</wp:posOffset>
          </wp:positionV>
          <wp:extent cx="2272030" cy="1162050"/>
          <wp:effectExtent l="0" t="0" r="0" b="0"/>
          <wp:wrapSquare wrapText="bothSides"/>
          <wp:docPr id="624857738" name="Picture 1" descr="A logo with text and a circ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4857738" name="Picture 1" descr="A logo with text and a circle&#10;&#10;AI-generated content may be incorrect."/>
                  <pic:cNvPicPr/>
                </pic:nvPicPr>
                <pic:blipFill rotWithShape="1">
                  <a:blip r:embed="rId1">
                    <a:extLst>
                      <a:ext uri="{28A0092B-C50C-407E-A947-70E740481C1C}">
                        <a14:useLocalDpi xmlns:a14="http://schemas.microsoft.com/office/drawing/2010/main" val="0"/>
                      </a:ext>
                    </a:extLst>
                  </a:blip>
                  <a:srcRect l="4277" t="8666" b="10189"/>
                  <a:stretch/>
                </pic:blipFill>
                <pic:spPr bwMode="auto">
                  <a:xfrm>
                    <a:off x="0" y="0"/>
                    <a:ext cx="2272030" cy="116205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977603">
      <w:rPr>
        <w:noProof/>
      </w:rPr>
      <mc:AlternateContent>
        <mc:Choice Requires="wps">
          <w:drawing>
            <wp:anchor distT="0" distB="0" distL="114300" distR="114300" simplePos="0" relativeHeight="251670528" behindDoc="0" locked="0" layoutInCell="1" allowOverlap="1" wp14:anchorId="58E31B01" wp14:editId="4EBD049E">
              <wp:simplePos x="0" y="0"/>
              <wp:positionH relativeFrom="page">
                <wp:align>right</wp:align>
              </wp:positionH>
              <wp:positionV relativeFrom="paragraph">
                <wp:posOffset>-451485</wp:posOffset>
              </wp:positionV>
              <wp:extent cx="7550150" cy="228600"/>
              <wp:effectExtent l="0" t="0" r="12700" b="19050"/>
              <wp:wrapNone/>
              <wp:docPr id="1692945635" name="Rectangle 5"/>
              <wp:cNvGraphicFramePr/>
              <a:graphic xmlns:a="http://schemas.openxmlformats.org/drawingml/2006/main">
                <a:graphicData uri="http://schemas.microsoft.com/office/word/2010/wordprocessingShape">
                  <wps:wsp>
                    <wps:cNvSpPr/>
                    <wps:spPr>
                      <a:xfrm>
                        <a:off x="0" y="0"/>
                        <a:ext cx="7550150" cy="228600"/>
                      </a:xfrm>
                      <a:prstGeom prst="rect">
                        <a:avLst/>
                      </a:prstGeom>
                      <a:solidFill>
                        <a:srgbClr val="26547C"/>
                      </a:solidFill>
                      <a:ln>
                        <a:solidFill>
                          <a:srgbClr val="26547C"/>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C90B48A" id="Rectangle 5" o:spid="_x0000_s1026" style="position:absolute;margin-left:543.3pt;margin-top:-35.55pt;width:594.5pt;height:18pt;z-index:251670528;visibility:visible;mso-wrap-style:square;mso-wrap-distance-left:9pt;mso-wrap-distance-top:0;mso-wrap-distance-right:9pt;mso-wrap-distance-bottom:0;mso-position-horizontal:right;mso-position-horizontal-relative:page;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" fillcolor="#26547c" strokecolor="#26547c" strokeweight="1pt">
              <w10:wrap anchorx="page"/>
            </v:rect>
          </w:pict>
        </mc:Fallback>
      </mc:AlternateContent>
    </w:r>
    <w:r w:rsidR="005C4401" w:rsidRPr="005C4401">
      <w:rPr>
        <w:noProof/>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E7E32"/>
    <w:multiLevelType w:val="multilevel"/>
    <w:tmpl w:val="3AFAE84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E77481"/>
    <w:multiLevelType w:val="hybridMultilevel"/>
    <w:tmpl w:val="960E1F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440491D"/>
    <w:multiLevelType w:val="hybridMultilevel"/>
    <w:tmpl w:val="439E52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DBF1A2E"/>
    <w:multiLevelType w:val="hybridMultilevel"/>
    <w:tmpl w:val="0FB4BB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E2E3DF1"/>
    <w:multiLevelType w:val="multilevel"/>
    <w:tmpl w:val="1E8A14A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9411748"/>
    <w:multiLevelType w:val="hybridMultilevel"/>
    <w:tmpl w:val="D668DA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A2E1668"/>
    <w:multiLevelType w:val="multilevel"/>
    <w:tmpl w:val="A92C9A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C1F0AE3"/>
    <w:multiLevelType w:val="hybridMultilevel"/>
    <w:tmpl w:val="ACDACB2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8" w15:restartNumberingAfterBreak="0">
    <w:nsid w:val="207149BF"/>
    <w:multiLevelType w:val="multilevel"/>
    <w:tmpl w:val="BAFC0F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0FE7956"/>
    <w:multiLevelType w:val="hybridMultilevel"/>
    <w:tmpl w:val="4AF867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2444A8F"/>
    <w:multiLevelType w:val="hybridMultilevel"/>
    <w:tmpl w:val="4C362CE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5804FC5"/>
    <w:multiLevelType w:val="hybridMultilevel"/>
    <w:tmpl w:val="184468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BA21DE6"/>
    <w:multiLevelType w:val="hybridMultilevel"/>
    <w:tmpl w:val="5CB644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C2C518D"/>
    <w:multiLevelType w:val="hybridMultilevel"/>
    <w:tmpl w:val="0BC4B314"/>
    <w:lvl w:ilvl="0" w:tplc="18A4AD0A">
      <w:numFmt w:val="bullet"/>
      <w:lvlText w:val="-"/>
      <w:lvlJc w:val="left"/>
      <w:pPr>
        <w:ind w:left="720" w:hanging="360"/>
      </w:pPr>
      <w:rPr>
        <w:rFonts w:ascii="Aptos" w:eastAsia="Aptos" w:hAnsi="Aptos"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4" w15:restartNumberingAfterBreak="0">
    <w:nsid w:val="2FFC09E5"/>
    <w:multiLevelType w:val="hybridMultilevel"/>
    <w:tmpl w:val="915019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633728B"/>
    <w:multiLevelType w:val="multilevel"/>
    <w:tmpl w:val="2AAA18B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8275ECB"/>
    <w:multiLevelType w:val="hybridMultilevel"/>
    <w:tmpl w:val="DDD23E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9164F0F"/>
    <w:multiLevelType w:val="multilevel"/>
    <w:tmpl w:val="718C71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EF03E69"/>
    <w:multiLevelType w:val="hybridMultilevel"/>
    <w:tmpl w:val="249E43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3ED0BCC"/>
    <w:multiLevelType w:val="hybridMultilevel"/>
    <w:tmpl w:val="7E7AA7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7647EC0"/>
    <w:multiLevelType w:val="hybridMultilevel"/>
    <w:tmpl w:val="3F3E87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ADA4879"/>
    <w:multiLevelType w:val="multilevel"/>
    <w:tmpl w:val="1144A12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D3A6D19"/>
    <w:multiLevelType w:val="multilevel"/>
    <w:tmpl w:val="4B1015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514A4333"/>
    <w:multiLevelType w:val="hybridMultilevel"/>
    <w:tmpl w:val="971463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FF50417"/>
    <w:multiLevelType w:val="hybridMultilevel"/>
    <w:tmpl w:val="1AA0C916"/>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67853274"/>
    <w:multiLevelType w:val="hybridMultilevel"/>
    <w:tmpl w:val="41F477AC"/>
    <w:lvl w:ilvl="0" w:tplc="417A66E2">
      <w:start w:val="1"/>
      <w:numFmt w:val="lowerLetter"/>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6EC82C9A"/>
    <w:multiLevelType w:val="hybridMultilevel"/>
    <w:tmpl w:val="94F884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780C404A"/>
    <w:multiLevelType w:val="multilevel"/>
    <w:tmpl w:val="48A8E4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79126F50"/>
    <w:multiLevelType w:val="hybridMultilevel"/>
    <w:tmpl w:val="3F5E8B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448085712">
    <w:abstractNumId w:val="6"/>
  </w:num>
  <w:num w:numId="2" w16cid:durableId="536551103">
    <w:abstractNumId w:val="22"/>
  </w:num>
  <w:num w:numId="3" w16cid:durableId="1030766283">
    <w:abstractNumId w:val="0"/>
  </w:num>
  <w:num w:numId="4" w16cid:durableId="630014505">
    <w:abstractNumId w:val="8"/>
  </w:num>
  <w:num w:numId="5" w16cid:durableId="915282743">
    <w:abstractNumId w:val="13"/>
  </w:num>
  <w:num w:numId="6" w16cid:durableId="250704854">
    <w:abstractNumId w:val="10"/>
  </w:num>
  <w:num w:numId="7" w16cid:durableId="1262756826">
    <w:abstractNumId w:val="12"/>
  </w:num>
  <w:num w:numId="8" w16cid:durableId="1339193770">
    <w:abstractNumId w:val="20"/>
  </w:num>
  <w:num w:numId="9" w16cid:durableId="13767865">
    <w:abstractNumId w:val="18"/>
  </w:num>
  <w:num w:numId="10" w16cid:durableId="1649238790">
    <w:abstractNumId w:val="11"/>
  </w:num>
  <w:num w:numId="11" w16cid:durableId="1996906531">
    <w:abstractNumId w:val="28"/>
  </w:num>
  <w:num w:numId="12" w16cid:durableId="1795294685">
    <w:abstractNumId w:val="3"/>
  </w:num>
  <w:num w:numId="13" w16cid:durableId="1533955871">
    <w:abstractNumId w:val="14"/>
  </w:num>
  <w:num w:numId="14" w16cid:durableId="1120563470">
    <w:abstractNumId w:val="1"/>
  </w:num>
  <w:num w:numId="15" w16cid:durableId="1801220031">
    <w:abstractNumId w:val="16"/>
  </w:num>
  <w:num w:numId="16" w16cid:durableId="1854026354">
    <w:abstractNumId w:val="2"/>
  </w:num>
  <w:num w:numId="17" w16cid:durableId="897589421">
    <w:abstractNumId w:val="19"/>
  </w:num>
  <w:num w:numId="18" w16cid:durableId="417407468">
    <w:abstractNumId w:val="9"/>
  </w:num>
  <w:num w:numId="19" w16cid:durableId="118376506">
    <w:abstractNumId w:val="7"/>
  </w:num>
  <w:num w:numId="20" w16cid:durableId="1116606206">
    <w:abstractNumId w:val="15"/>
  </w:num>
  <w:num w:numId="21" w16cid:durableId="1070616705">
    <w:abstractNumId w:val="21"/>
  </w:num>
  <w:num w:numId="22" w16cid:durableId="261423357">
    <w:abstractNumId w:val="4"/>
  </w:num>
  <w:num w:numId="23" w16cid:durableId="87118178">
    <w:abstractNumId w:val="26"/>
  </w:num>
  <w:num w:numId="24" w16cid:durableId="1566522559">
    <w:abstractNumId w:val="5"/>
  </w:num>
  <w:num w:numId="25" w16cid:durableId="1280261255">
    <w:abstractNumId w:val="23"/>
  </w:num>
  <w:num w:numId="26" w16cid:durableId="1417509644">
    <w:abstractNumId w:val="17"/>
  </w:num>
  <w:num w:numId="27" w16cid:durableId="1216432096">
    <w:abstractNumId w:val="25"/>
  </w:num>
  <w:num w:numId="28" w16cid:durableId="736167325">
    <w:abstractNumId w:val="24"/>
  </w:num>
  <w:num w:numId="29" w16cid:durableId="1254166455">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7603"/>
    <w:rsid w:val="000032E9"/>
    <w:rsid w:val="00004818"/>
    <w:rsid w:val="00030FB0"/>
    <w:rsid w:val="0003102F"/>
    <w:rsid w:val="00072406"/>
    <w:rsid w:val="000727F2"/>
    <w:rsid w:val="00076129"/>
    <w:rsid w:val="00093405"/>
    <w:rsid w:val="000952D8"/>
    <w:rsid w:val="00096811"/>
    <w:rsid w:val="000A7E7C"/>
    <w:rsid w:val="000E6940"/>
    <w:rsid w:val="000E6E03"/>
    <w:rsid w:val="00101CEA"/>
    <w:rsid w:val="00111AAC"/>
    <w:rsid w:val="00113E28"/>
    <w:rsid w:val="00122FFB"/>
    <w:rsid w:val="001524F2"/>
    <w:rsid w:val="00160B7F"/>
    <w:rsid w:val="00167583"/>
    <w:rsid w:val="00175B1E"/>
    <w:rsid w:val="00196F31"/>
    <w:rsid w:val="001A6359"/>
    <w:rsid w:val="001C694C"/>
    <w:rsid w:val="001D3309"/>
    <w:rsid w:val="001E4131"/>
    <w:rsid w:val="001E67CE"/>
    <w:rsid w:val="001F3162"/>
    <w:rsid w:val="00216595"/>
    <w:rsid w:val="00220731"/>
    <w:rsid w:val="00221FB2"/>
    <w:rsid w:val="002941E1"/>
    <w:rsid w:val="002B6D6B"/>
    <w:rsid w:val="002D6CD4"/>
    <w:rsid w:val="002E4938"/>
    <w:rsid w:val="00320359"/>
    <w:rsid w:val="003266AB"/>
    <w:rsid w:val="00374517"/>
    <w:rsid w:val="00380C14"/>
    <w:rsid w:val="00392D5D"/>
    <w:rsid w:val="00397B89"/>
    <w:rsid w:val="003A57CE"/>
    <w:rsid w:val="003A6EC7"/>
    <w:rsid w:val="003D1389"/>
    <w:rsid w:val="003D598B"/>
    <w:rsid w:val="00404AF7"/>
    <w:rsid w:val="004234E3"/>
    <w:rsid w:val="00473124"/>
    <w:rsid w:val="004E3E27"/>
    <w:rsid w:val="004F272A"/>
    <w:rsid w:val="00505AD7"/>
    <w:rsid w:val="00516F1E"/>
    <w:rsid w:val="00544B22"/>
    <w:rsid w:val="00555441"/>
    <w:rsid w:val="00570167"/>
    <w:rsid w:val="005737CC"/>
    <w:rsid w:val="00573DB9"/>
    <w:rsid w:val="005C4401"/>
    <w:rsid w:val="005F640E"/>
    <w:rsid w:val="006328D2"/>
    <w:rsid w:val="00674E73"/>
    <w:rsid w:val="00675DEA"/>
    <w:rsid w:val="00686446"/>
    <w:rsid w:val="006C20A2"/>
    <w:rsid w:val="006E3DF2"/>
    <w:rsid w:val="006F03AF"/>
    <w:rsid w:val="0074332C"/>
    <w:rsid w:val="00786FAA"/>
    <w:rsid w:val="007B396E"/>
    <w:rsid w:val="007C299A"/>
    <w:rsid w:val="007C4396"/>
    <w:rsid w:val="007C4A45"/>
    <w:rsid w:val="00801C19"/>
    <w:rsid w:val="00821941"/>
    <w:rsid w:val="008279C1"/>
    <w:rsid w:val="00855C9D"/>
    <w:rsid w:val="008A5115"/>
    <w:rsid w:val="008D6C10"/>
    <w:rsid w:val="008F2585"/>
    <w:rsid w:val="00911768"/>
    <w:rsid w:val="00932F4E"/>
    <w:rsid w:val="0094200B"/>
    <w:rsid w:val="00957914"/>
    <w:rsid w:val="00967B0F"/>
    <w:rsid w:val="00973A6C"/>
    <w:rsid w:val="00973E3B"/>
    <w:rsid w:val="00977603"/>
    <w:rsid w:val="009E723D"/>
    <w:rsid w:val="00A1583B"/>
    <w:rsid w:val="00A4159E"/>
    <w:rsid w:val="00AA7B7B"/>
    <w:rsid w:val="00AC17FE"/>
    <w:rsid w:val="00AC6732"/>
    <w:rsid w:val="00AD1207"/>
    <w:rsid w:val="00AD5AAF"/>
    <w:rsid w:val="00B0121F"/>
    <w:rsid w:val="00B01C3E"/>
    <w:rsid w:val="00B06198"/>
    <w:rsid w:val="00B43E16"/>
    <w:rsid w:val="00B444BB"/>
    <w:rsid w:val="00B94109"/>
    <w:rsid w:val="00BA4502"/>
    <w:rsid w:val="00BC64A6"/>
    <w:rsid w:val="00BE46F8"/>
    <w:rsid w:val="00BF2C60"/>
    <w:rsid w:val="00C24C84"/>
    <w:rsid w:val="00C33F23"/>
    <w:rsid w:val="00C344CB"/>
    <w:rsid w:val="00C379F1"/>
    <w:rsid w:val="00C65084"/>
    <w:rsid w:val="00C84BEA"/>
    <w:rsid w:val="00C9537B"/>
    <w:rsid w:val="00CA40B1"/>
    <w:rsid w:val="00D114D1"/>
    <w:rsid w:val="00D117EE"/>
    <w:rsid w:val="00D30330"/>
    <w:rsid w:val="00D42166"/>
    <w:rsid w:val="00D42F5F"/>
    <w:rsid w:val="00D5257E"/>
    <w:rsid w:val="00D65472"/>
    <w:rsid w:val="00DD4E6D"/>
    <w:rsid w:val="00DE0F5A"/>
    <w:rsid w:val="00DF37F9"/>
    <w:rsid w:val="00E13882"/>
    <w:rsid w:val="00E6155B"/>
    <w:rsid w:val="00E63C71"/>
    <w:rsid w:val="00EC17D1"/>
    <w:rsid w:val="00EC22CB"/>
    <w:rsid w:val="00EE0E11"/>
    <w:rsid w:val="00EF041F"/>
    <w:rsid w:val="00F26159"/>
    <w:rsid w:val="00F42BE6"/>
    <w:rsid w:val="00F56DB9"/>
    <w:rsid w:val="00F61A53"/>
    <w:rsid w:val="00F66467"/>
    <w:rsid w:val="00F82877"/>
    <w:rsid w:val="00FA2404"/>
    <w:rsid w:val="00FE3A27"/>
    <w:rsid w:val="00FE57BD"/>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EA2746F"/>
  <w15:chartTrackingRefBased/>
  <w15:docId w15:val="{C5968DA6-AC6C-4DE1-B524-A8CE9578AF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04AF7"/>
    <w:pPr>
      <w:spacing w:after="0" w:line="240" w:lineRule="auto"/>
    </w:pPr>
    <w:rPr>
      <w:sz w:val="24"/>
      <w:szCs w:val="24"/>
    </w:rPr>
  </w:style>
  <w:style w:type="paragraph" w:styleId="Heading1">
    <w:name w:val="heading 1"/>
    <w:basedOn w:val="Normal"/>
    <w:next w:val="Normal"/>
    <w:link w:val="Heading1Char"/>
    <w:uiPriority w:val="9"/>
    <w:qFormat/>
    <w:rsid w:val="00B06198"/>
    <w:pPr>
      <w:keepNext/>
      <w:keepLines/>
      <w:spacing w:before="360" w:after="80"/>
      <w:outlineLvl w:val="0"/>
    </w:pPr>
    <w:rPr>
      <w:rFonts w:ascii="Montserrat" w:eastAsiaTheme="majorEastAsia" w:hAnsi="Montserrat" w:cstheme="majorBidi"/>
      <w:b/>
      <w:color w:val="0F4761" w:themeColor="accent1" w:themeShade="BF"/>
      <w:sz w:val="40"/>
      <w:szCs w:val="40"/>
    </w:rPr>
  </w:style>
  <w:style w:type="paragraph" w:styleId="Heading2">
    <w:name w:val="heading 2"/>
    <w:basedOn w:val="Normal"/>
    <w:next w:val="Normal"/>
    <w:link w:val="Heading2Char"/>
    <w:uiPriority w:val="9"/>
    <w:unhideWhenUsed/>
    <w:qFormat/>
    <w:rsid w:val="00B06198"/>
    <w:pPr>
      <w:keepNext/>
      <w:keepLines/>
      <w:spacing w:before="160" w:after="80"/>
      <w:outlineLvl w:val="1"/>
    </w:pPr>
    <w:rPr>
      <w:rFonts w:ascii="Montserrat" w:eastAsiaTheme="majorEastAsia" w:hAnsi="Montserrat" w:cstheme="majorBidi"/>
      <w:b/>
      <w:color w:val="0F4761" w:themeColor="accent1" w:themeShade="BF"/>
      <w:sz w:val="32"/>
      <w:szCs w:val="32"/>
    </w:rPr>
  </w:style>
  <w:style w:type="paragraph" w:styleId="Heading3">
    <w:name w:val="heading 3"/>
    <w:basedOn w:val="Normal"/>
    <w:next w:val="Normal"/>
    <w:link w:val="Heading3Char"/>
    <w:uiPriority w:val="9"/>
    <w:unhideWhenUsed/>
    <w:qFormat/>
    <w:rsid w:val="00B06198"/>
    <w:pPr>
      <w:keepNext/>
      <w:keepLines/>
      <w:spacing w:before="160" w:after="80"/>
      <w:outlineLvl w:val="2"/>
    </w:pPr>
    <w:rPr>
      <w:rFonts w:ascii="Montserrat" w:eastAsiaTheme="majorEastAsia" w:hAnsi="Montserrat" w:cstheme="majorBidi"/>
      <w:color w:val="26547C"/>
      <w:sz w:val="28"/>
      <w:szCs w:val="28"/>
    </w:rPr>
  </w:style>
  <w:style w:type="paragraph" w:styleId="Heading4">
    <w:name w:val="heading 4"/>
    <w:basedOn w:val="Normal"/>
    <w:next w:val="Normal"/>
    <w:link w:val="Heading4Char"/>
    <w:uiPriority w:val="9"/>
    <w:semiHidden/>
    <w:unhideWhenUsed/>
    <w:qFormat/>
    <w:rsid w:val="0097760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7760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77603"/>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77603"/>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77603"/>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77603"/>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06198"/>
    <w:rPr>
      <w:rFonts w:ascii="Montserrat" w:eastAsiaTheme="majorEastAsia" w:hAnsi="Montserrat" w:cstheme="majorBidi"/>
      <w:b/>
      <w:color w:val="0F4761" w:themeColor="accent1" w:themeShade="BF"/>
      <w:sz w:val="40"/>
      <w:szCs w:val="40"/>
    </w:rPr>
  </w:style>
  <w:style w:type="character" w:customStyle="1" w:styleId="Heading2Char">
    <w:name w:val="Heading 2 Char"/>
    <w:basedOn w:val="DefaultParagraphFont"/>
    <w:link w:val="Heading2"/>
    <w:uiPriority w:val="9"/>
    <w:rsid w:val="00B06198"/>
    <w:rPr>
      <w:rFonts w:ascii="Montserrat" w:eastAsiaTheme="majorEastAsia" w:hAnsi="Montserrat" w:cstheme="majorBidi"/>
      <w:b/>
      <w:color w:val="0F4761" w:themeColor="accent1" w:themeShade="BF"/>
      <w:sz w:val="32"/>
      <w:szCs w:val="32"/>
    </w:rPr>
  </w:style>
  <w:style w:type="character" w:customStyle="1" w:styleId="Heading3Char">
    <w:name w:val="Heading 3 Char"/>
    <w:basedOn w:val="DefaultParagraphFont"/>
    <w:link w:val="Heading3"/>
    <w:uiPriority w:val="9"/>
    <w:rsid w:val="00B06198"/>
    <w:rPr>
      <w:rFonts w:ascii="Montserrat" w:eastAsiaTheme="majorEastAsia" w:hAnsi="Montserrat" w:cstheme="majorBidi"/>
      <w:color w:val="26547C"/>
      <w:sz w:val="28"/>
      <w:szCs w:val="28"/>
    </w:rPr>
  </w:style>
  <w:style w:type="character" w:customStyle="1" w:styleId="Heading4Char">
    <w:name w:val="Heading 4 Char"/>
    <w:basedOn w:val="DefaultParagraphFont"/>
    <w:link w:val="Heading4"/>
    <w:uiPriority w:val="9"/>
    <w:semiHidden/>
    <w:rsid w:val="0097760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7760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7760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7760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7760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77603"/>
    <w:rPr>
      <w:rFonts w:eastAsiaTheme="majorEastAsia" w:cstheme="majorBidi"/>
      <w:color w:val="272727" w:themeColor="text1" w:themeTint="D8"/>
    </w:rPr>
  </w:style>
  <w:style w:type="paragraph" w:styleId="Title">
    <w:name w:val="Title"/>
    <w:basedOn w:val="Normal"/>
    <w:next w:val="Normal"/>
    <w:link w:val="TitleChar"/>
    <w:uiPriority w:val="10"/>
    <w:qFormat/>
    <w:rsid w:val="00B06198"/>
    <w:pPr>
      <w:spacing w:after="80"/>
      <w:contextualSpacing/>
    </w:pPr>
    <w:rPr>
      <w:rFonts w:ascii="Montserrat" w:eastAsiaTheme="majorEastAsia" w:hAnsi="Montserrat" w:cstheme="majorBidi"/>
      <w:b/>
      <w:color w:val="26547C"/>
      <w:spacing w:val="-10"/>
      <w:kern w:val="28"/>
      <w:sz w:val="56"/>
      <w:szCs w:val="56"/>
    </w:rPr>
  </w:style>
  <w:style w:type="character" w:customStyle="1" w:styleId="TitleChar">
    <w:name w:val="Title Char"/>
    <w:basedOn w:val="DefaultParagraphFont"/>
    <w:link w:val="Title"/>
    <w:uiPriority w:val="10"/>
    <w:rsid w:val="00B06198"/>
    <w:rPr>
      <w:rFonts w:ascii="Montserrat" w:eastAsiaTheme="majorEastAsia" w:hAnsi="Montserrat" w:cstheme="majorBidi"/>
      <w:b/>
      <w:color w:val="26547C"/>
      <w:spacing w:val="-10"/>
      <w:kern w:val="28"/>
      <w:sz w:val="56"/>
      <w:szCs w:val="56"/>
    </w:rPr>
  </w:style>
  <w:style w:type="paragraph" w:styleId="Subtitle">
    <w:name w:val="Subtitle"/>
    <w:basedOn w:val="Normal"/>
    <w:next w:val="Normal"/>
    <w:link w:val="SubtitleChar"/>
    <w:uiPriority w:val="11"/>
    <w:qFormat/>
    <w:rsid w:val="0097760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7760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77603"/>
    <w:pPr>
      <w:spacing w:before="160"/>
      <w:jc w:val="center"/>
    </w:pPr>
    <w:rPr>
      <w:i/>
      <w:iCs/>
      <w:color w:val="404040" w:themeColor="text1" w:themeTint="BF"/>
    </w:rPr>
  </w:style>
  <w:style w:type="character" w:customStyle="1" w:styleId="QuoteChar">
    <w:name w:val="Quote Char"/>
    <w:basedOn w:val="DefaultParagraphFont"/>
    <w:link w:val="Quote"/>
    <w:uiPriority w:val="29"/>
    <w:rsid w:val="00977603"/>
    <w:rPr>
      <w:i/>
      <w:iCs/>
      <w:color w:val="404040" w:themeColor="text1" w:themeTint="BF"/>
    </w:rPr>
  </w:style>
  <w:style w:type="paragraph" w:styleId="ListParagraph">
    <w:name w:val="List Paragraph"/>
    <w:basedOn w:val="Normal"/>
    <w:uiPriority w:val="34"/>
    <w:qFormat/>
    <w:rsid w:val="00977603"/>
    <w:pPr>
      <w:ind w:left="720"/>
      <w:contextualSpacing/>
    </w:pPr>
  </w:style>
  <w:style w:type="character" w:styleId="IntenseEmphasis">
    <w:name w:val="Intense Emphasis"/>
    <w:basedOn w:val="DefaultParagraphFont"/>
    <w:uiPriority w:val="21"/>
    <w:qFormat/>
    <w:rsid w:val="00977603"/>
    <w:rPr>
      <w:i/>
      <w:iCs/>
      <w:color w:val="0F4761" w:themeColor="accent1" w:themeShade="BF"/>
    </w:rPr>
  </w:style>
  <w:style w:type="paragraph" w:styleId="IntenseQuote">
    <w:name w:val="Intense Quote"/>
    <w:basedOn w:val="Normal"/>
    <w:next w:val="Normal"/>
    <w:link w:val="IntenseQuoteChar"/>
    <w:uiPriority w:val="30"/>
    <w:qFormat/>
    <w:rsid w:val="0097760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77603"/>
    <w:rPr>
      <w:i/>
      <w:iCs/>
      <w:color w:val="0F4761" w:themeColor="accent1" w:themeShade="BF"/>
    </w:rPr>
  </w:style>
  <w:style w:type="character" w:styleId="IntenseReference">
    <w:name w:val="Intense Reference"/>
    <w:basedOn w:val="DefaultParagraphFont"/>
    <w:uiPriority w:val="32"/>
    <w:qFormat/>
    <w:rsid w:val="00977603"/>
    <w:rPr>
      <w:b/>
      <w:bCs/>
      <w:smallCaps/>
      <w:color w:val="0F4761" w:themeColor="accent1" w:themeShade="BF"/>
      <w:spacing w:val="5"/>
    </w:rPr>
  </w:style>
  <w:style w:type="paragraph" w:styleId="Header">
    <w:name w:val="header"/>
    <w:basedOn w:val="Normal"/>
    <w:link w:val="HeaderChar"/>
    <w:uiPriority w:val="99"/>
    <w:unhideWhenUsed/>
    <w:rsid w:val="00977603"/>
    <w:pPr>
      <w:tabs>
        <w:tab w:val="center" w:pos="4513"/>
        <w:tab w:val="right" w:pos="9026"/>
      </w:tabs>
    </w:pPr>
  </w:style>
  <w:style w:type="character" w:customStyle="1" w:styleId="HeaderChar">
    <w:name w:val="Header Char"/>
    <w:basedOn w:val="DefaultParagraphFont"/>
    <w:link w:val="Header"/>
    <w:uiPriority w:val="99"/>
    <w:rsid w:val="00977603"/>
  </w:style>
  <w:style w:type="paragraph" w:styleId="Footer">
    <w:name w:val="footer"/>
    <w:basedOn w:val="Normal"/>
    <w:link w:val="FooterChar"/>
    <w:uiPriority w:val="99"/>
    <w:unhideWhenUsed/>
    <w:rsid w:val="00977603"/>
    <w:pPr>
      <w:tabs>
        <w:tab w:val="center" w:pos="4513"/>
        <w:tab w:val="right" w:pos="9026"/>
      </w:tabs>
    </w:pPr>
  </w:style>
  <w:style w:type="character" w:customStyle="1" w:styleId="FooterChar">
    <w:name w:val="Footer Char"/>
    <w:basedOn w:val="DefaultParagraphFont"/>
    <w:link w:val="Footer"/>
    <w:uiPriority w:val="99"/>
    <w:rsid w:val="00977603"/>
  </w:style>
  <w:style w:type="table" w:styleId="TableGrid">
    <w:name w:val="Table Grid"/>
    <w:basedOn w:val="TableNormal"/>
    <w:uiPriority w:val="39"/>
    <w:rsid w:val="00505AD7"/>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DD4E6D"/>
    <w:rPr>
      <w:color w:val="467886" w:themeColor="hyperlink"/>
      <w:u w:val="single"/>
    </w:rPr>
  </w:style>
  <w:style w:type="character" w:styleId="UnresolvedMention">
    <w:name w:val="Unresolved Mention"/>
    <w:basedOn w:val="DefaultParagraphFont"/>
    <w:uiPriority w:val="99"/>
    <w:semiHidden/>
    <w:unhideWhenUsed/>
    <w:rsid w:val="00DD4E6D"/>
    <w:rPr>
      <w:color w:val="605E5C"/>
      <w:shd w:val="clear" w:color="auto" w:fill="E1DFDD"/>
    </w:rPr>
  </w:style>
  <w:style w:type="character" w:styleId="Strong">
    <w:name w:val="Strong"/>
    <w:basedOn w:val="DefaultParagraphFont"/>
    <w:uiPriority w:val="22"/>
    <w:qFormat/>
    <w:rsid w:val="007C299A"/>
    <w:rPr>
      <w:b/>
      <w:bCs/>
    </w:rPr>
  </w:style>
  <w:style w:type="character" w:styleId="Emphasis">
    <w:name w:val="Emphasis"/>
    <w:basedOn w:val="DefaultParagraphFont"/>
    <w:uiPriority w:val="20"/>
    <w:qFormat/>
    <w:rsid w:val="007C299A"/>
    <w:rPr>
      <w:i/>
      <w:iCs/>
    </w:rPr>
  </w:style>
  <w:style w:type="paragraph" w:styleId="NormalWeb">
    <w:name w:val="Normal (Web)"/>
    <w:basedOn w:val="Normal"/>
    <w:uiPriority w:val="99"/>
    <w:semiHidden/>
    <w:unhideWhenUsed/>
    <w:rsid w:val="00380C14"/>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4509966">
      <w:bodyDiv w:val="1"/>
      <w:marLeft w:val="0"/>
      <w:marRight w:val="0"/>
      <w:marTop w:val="0"/>
      <w:marBottom w:val="0"/>
      <w:divBdr>
        <w:top w:val="none" w:sz="0" w:space="0" w:color="auto"/>
        <w:left w:val="none" w:sz="0" w:space="0" w:color="auto"/>
        <w:bottom w:val="none" w:sz="0" w:space="0" w:color="auto"/>
        <w:right w:val="none" w:sz="0" w:space="0" w:color="auto"/>
      </w:divBdr>
    </w:div>
    <w:div w:id="501237178">
      <w:bodyDiv w:val="1"/>
      <w:marLeft w:val="0"/>
      <w:marRight w:val="0"/>
      <w:marTop w:val="0"/>
      <w:marBottom w:val="0"/>
      <w:divBdr>
        <w:top w:val="none" w:sz="0" w:space="0" w:color="auto"/>
        <w:left w:val="none" w:sz="0" w:space="0" w:color="auto"/>
        <w:bottom w:val="none" w:sz="0" w:space="0" w:color="auto"/>
        <w:right w:val="none" w:sz="0" w:space="0" w:color="auto"/>
      </w:divBdr>
    </w:div>
    <w:div w:id="634065658">
      <w:bodyDiv w:val="1"/>
      <w:marLeft w:val="0"/>
      <w:marRight w:val="0"/>
      <w:marTop w:val="0"/>
      <w:marBottom w:val="0"/>
      <w:divBdr>
        <w:top w:val="none" w:sz="0" w:space="0" w:color="auto"/>
        <w:left w:val="none" w:sz="0" w:space="0" w:color="auto"/>
        <w:bottom w:val="none" w:sz="0" w:space="0" w:color="auto"/>
        <w:right w:val="none" w:sz="0" w:space="0" w:color="auto"/>
      </w:divBdr>
    </w:div>
    <w:div w:id="912004719">
      <w:bodyDiv w:val="1"/>
      <w:marLeft w:val="0"/>
      <w:marRight w:val="0"/>
      <w:marTop w:val="0"/>
      <w:marBottom w:val="0"/>
      <w:divBdr>
        <w:top w:val="none" w:sz="0" w:space="0" w:color="auto"/>
        <w:left w:val="none" w:sz="0" w:space="0" w:color="auto"/>
        <w:bottom w:val="none" w:sz="0" w:space="0" w:color="auto"/>
        <w:right w:val="none" w:sz="0" w:space="0" w:color="auto"/>
      </w:divBdr>
    </w:div>
    <w:div w:id="966200540">
      <w:bodyDiv w:val="1"/>
      <w:marLeft w:val="0"/>
      <w:marRight w:val="0"/>
      <w:marTop w:val="0"/>
      <w:marBottom w:val="0"/>
      <w:divBdr>
        <w:top w:val="none" w:sz="0" w:space="0" w:color="auto"/>
        <w:left w:val="none" w:sz="0" w:space="0" w:color="auto"/>
        <w:bottom w:val="none" w:sz="0" w:space="0" w:color="auto"/>
        <w:right w:val="none" w:sz="0" w:space="0" w:color="auto"/>
      </w:divBdr>
    </w:div>
    <w:div w:id="1025792885">
      <w:bodyDiv w:val="1"/>
      <w:marLeft w:val="0"/>
      <w:marRight w:val="0"/>
      <w:marTop w:val="0"/>
      <w:marBottom w:val="0"/>
      <w:divBdr>
        <w:top w:val="none" w:sz="0" w:space="0" w:color="auto"/>
        <w:left w:val="none" w:sz="0" w:space="0" w:color="auto"/>
        <w:bottom w:val="none" w:sz="0" w:space="0" w:color="auto"/>
        <w:right w:val="none" w:sz="0" w:space="0" w:color="auto"/>
      </w:divBdr>
    </w:div>
    <w:div w:id="1134837272">
      <w:bodyDiv w:val="1"/>
      <w:marLeft w:val="0"/>
      <w:marRight w:val="0"/>
      <w:marTop w:val="0"/>
      <w:marBottom w:val="0"/>
      <w:divBdr>
        <w:top w:val="none" w:sz="0" w:space="0" w:color="auto"/>
        <w:left w:val="none" w:sz="0" w:space="0" w:color="auto"/>
        <w:bottom w:val="none" w:sz="0" w:space="0" w:color="auto"/>
        <w:right w:val="none" w:sz="0" w:space="0" w:color="auto"/>
      </w:divBdr>
    </w:div>
    <w:div w:id="1148395356">
      <w:bodyDiv w:val="1"/>
      <w:marLeft w:val="0"/>
      <w:marRight w:val="0"/>
      <w:marTop w:val="0"/>
      <w:marBottom w:val="0"/>
      <w:divBdr>
        <w:top w:val="none" w:sz="0" w:space="0" w:color="auto"/>
        <w:left w:val="none" w:sz="0" w:space="0" w:color="auto"/>
        <w:bottom w:val="none" w:sz="0" w:space="0" w:color="auto"/>
        <w:right w:val="none" w:sz="0" w:space="0" w:color="auto"/>
      </w:divBdr>
      <w:divsChild>
        <w:div w:id="695469464">
          <w:marLeft w:val="0"/>
          <w:marRight w:val="0"/>
          <w:marTop w:val="0"/>
          <w:marBottom w:val="0"/>
          <w:divBdr>
            <w:top w:val="none" w:sz="0" w:space="0" w:color="auto"/>
            <w:left w:val="none" w:sz="0" w:space="0" w:color="auto"/>
            <w:bottom w:val="none" w:sz="0" w:space="0" w:color="auto"/>
            <w:right w:val="none" w:sz="0" w:space="0" w:color="auto"/>
          </w:divBdr>
        </w:div>
        <w:div w:id="772283649">
          <w:marLeft w:val="0"/>
          <w:marRight w:val="0"/>
          <w:marTop w:val="0"/>
          <w:marBottom w:val="0"/>
          <w:divBdr>
            <w:top w:val="none" w:sz="0" w:space="0" w:color="auto"/>
            <w:left w:val="none" w:sz="0" w:space="0" w:color="auto"/>
            <w:bottom w:val="none" w:sz="0" w:space="0" w:color="auto"/>
            <w:right w:val="none" w:sz="0" w:space="0" w:color="auto"/>
          </w:divBdr>
        </w:div>
        <w:div w:id="1358240531">
          <w:marLeft w:val="0"/>
          <w:marRight w:val="0"/>
          <w:marTop w:val="0"/>
          <w:marBottom w:val="0"/>
          <w:divBdr>
            <w:top w:val="none" w:sz="0" w:space="0" w:color="auto"/>
            <w:left w:val="none" w:sz="0" w:space="0" w:color="auto"/>
            <w:bottom w:val="none" w:sz="0" w:space="0" w:color="auto"/>
            <w:right w:val="none" w:sz="0" w:space="0" w:color="auto"/>
          </w:divBdr>
        </w:div>
        <w:div w:id="1046225588">
          <w:marLeft w:val="0"/>
          <w:marRight w:val="0"/>
          <w:marTop w:val="0"/>
          <w:marBottom w:val="0"/>
          <w:divBdr>
            <w:top w:val="none" w:sz="0" w:space="0" w:color="auto"/>
            <w:left w:val="none" w:sz="0" w:space="0" w:color="auto"/>
            <w:bottom w:val="none" w:sz="0" w:space="0" w:color="auto"/>
            <w:right w:val="none" w:sz="0" w:space="0" w:color="auto"/>
          </w:divBdr>
        </w:div>
        <w:div w:id="1517235003">
          <w:marLeft w:val="0"/>
          <w:marRight w:val="0"/>
          <w:marTop w:val="0"/>
          <w:marBottom w:val="0"/>
          <w:divBdr>
            <w:top w:val="none" w:sz="0" w:space="0" w:color="auto"/>
            <w:left w:val="none" w:sz="0" w:space="0" w:color="auto"/>
            <w:bottom w:val="none" w:sz="0" w:space="0" w:color="auto"/>
            <w:right w:val="none" w:sz="0" w:space="0" w:color="auto"/>
          </w:divBdr>
        </w:div>
        <w:div w:id="192235339">
          <w:marLeft w:val="0"/>
          <w:marRight w:val="0"/>
          <w:marTop w:val="0"/>
          <w:marBottom w:val="0"/>
          <w:divBdr>
            <w:top w:val="none" w:sz="0" w:space="0" w:color="auto"/>
            <w:left w:val="none" w:sz="0" w:space="0" w:color="auto"/>
            <w:bottom w:val="none" w:sz="0" w:space="0" w:color="auto"/>
            <w:right w:val="none" w:sz="0" w:space="0" w:color="auto"/>
          </w:divBdr>
        </w:div>
        <w:div w:id="782529200">
          <w:marLeft w:val="0"/>
          <w:marRight w:val="0"/>
          <w:marTop w:val="0"/>
          <w:marBottom w:val="0"/>
          <w:divBdr>
            <w:top w:val="none" w:sz="0" w:space="0" w:color="auto"/>
            <w:left w:val="none" w:sz="0" w:space="0" w:color="auto"/>
            <w:bottom w:val="none" w:sz="0" w:space="0" w:color="auto"/>
            <w:right w:val="none" w:sz="0" w:space="0" w:color="auto"/>
          </w:divBdr>
        </w:div>
        <w:div w:id="2057779209">
          <w:marLeft w:val="0"/>
          <w:marRight w:val="0"/>
          <w:marTop w:val="0"/>
          <w:marBottom w:val="0"/>
          <w:divBdr>
            <w:top w:val="none" w:sz="0" w:space="0" w:color="auto"/>
            <w:left w:val="none" w:sz="0" w:space="0" w:color="auto"/>
            <w:bottom w:val="none" w:sz="0" w:space="0" w:color="auto"/>
            <w:right w:val="none" w:sz="0" w:space="0" w:color="auto"/>
          </w:divBdr>
        </w:div>
      </w:divsChild>
    </w:div>
    <w:div w:id="1254391230">
      <w:bodyDiv w:val="1"/>
      <w:marLeft w:val="0"/>
      <w:marRight w:val="0"/>
      <w:marTop w:val="0"/>
      <w:marBottom w:val="0"/>
      <w:divBdr>
        <w:top w:val="none" w:sz="0" w:space="0" w:color="auto"/>
        <w:left w:val="none" w:sz="0" w:space="0" w:color="auto"/>
        <w:bottom w:val="none" w:sz="0" w:space="0" w:color="auto"/>
        <w:right w:val="none" w:sz="0" w:space="0" w:color="auto"/>
      </w:divBdr>
    </w:div>
    <w:div w:id="1750926066">
      <w:bodyDiv w:val="1"/>
      <w:marLeft w:val="0"/>
      <w:marRight w:val="0"/>
      <w:marTop w:val="0"/>
      <w:marBottom w:val="0"/>
      <w:divBdr>
        <w:top w:val="none" w:sz="0" w:space="0" w:color="auto"/>
        <w:left w:val="none" w:sz="0" w:space="0" w:color="auto"/>
        <w:bottom w:val="none" w:sz="0" w:space="0" w:color="auto"/>
        <w:right w:val="none" w:sz="0" w:space="0" w:color="auto"/>
      </w:divBdr>
      <w:divsChild>
        <w:div w:id="2011523842">
          <w:marLeft w:val="0"/>
          <w:marRight w:val="0"/>
          <w:marTop w:val="0"/>
          <w:marBottom w:val="0"/>
          <w:divBdr>
            <w:top w:val="none" w:sz="0" w:space="0" w:color="auto"/>
            <w:left w:val="none" w:sz="0" w:space="0" w:color="auto"/>
            <w:bottom w:val="none" w:sz="0" w:space="0" w:color="auto"/>
            <w:right w:val="none" w:sz="0" w:space="0" w:color="auto"/>
          </w:divBdr>
        </w:div>
        <w:div w:id="1615938996">
          <w:marLeft w:val="0"/>
          <w:marRight w:val="0"/>
          <w:marTop w:val="0"/>
          <w:marBottom w:val="0"/>
          <w:divBdr>
            <w:top w:val="none" w:sz="0" w:space="0" w:color="auto"/>
            <w:left w:val="none" w:sz="0" w:space="0" w:color="auto"/>
            <w:bottom w:val="none" w:sz="0" w:space="0" w:color="auto"/>
            <w:right w:val="none" w:sz="0" w:space="0" w:color="auto"/>
          </w:divBdr>
        </w:div>
        <w:div w:id="815342939">
          <w:marLeft w:val="0"/>
          <w:marRight w:val="0"/>
          <w:marTop w:val="0"/>
          <w:marBottom w:val="0"/>
          <w:divBdr>
            <w:top w:val="none" w:sz="0" w:space="0" w:color="auto"/>
            <w:left w:val="none" w:sz="0" w:space="0" w:color="auto"/>
            <w:bottom w:val="none" w:sz="0" w:space="0" w:color="auto"/>
            <w:right w:val="none" w:sz="0" w:space="0" w:color="auto"/>
          </w:divBdr>
        </w:div>
        <w:div w:id="972557199">
          <w:marLeft w:val="0"/>
          <w:marRight w:val="0"/>
          <w:marTop w:val="0"/>
          <w:marBottom w:val="0"/>
          <w:divBdr>
            <w:top w:val="none" w:sz="0" w:space="0" w:color="auto"/>
            <w:left w:val="none" w:sz="0" w:space="0" w:color="auto"/>
            <w:bottom w:val="none" w:sz="0" w:space="0" w:color="auto"/>
            <w:right w:val="none" w:sz="0" w:space="0" w:color="auto"/>
          </w:divBdr>
        </w:div>
        <w:div w:id="1919629310">
          <w:marLeft w:val="0"/>
          <w:marRight w:val="0"/>
          <w:marTop w:val="0"/>
          <w:marBottom w:val="0"/>
          <w:divBdr>
            <w:top w:val="none" w:sz="0" w:space="0" w:color="auto"/>
            <w:left w:val="none" w:sz="0" w:space="0" w:color="auto"/>
            <w:bottom w:val="none" w:sz="0" w:space="0" w:color="auto"/>
            <w:right w:val="none" w:sz="0" w:space="0" w:color="auto"/>
          </w:divBdr>
        </w:div>
        <w:div w:id="301422504">
          <w:marLeft w:val="0"/>
          <w:marRight w:val="0"/>
          <w:marTop w:val="0"/>
          <w:marBottom w:val="0"/>
          <w:divBdr>
            <w:top w:val="none" w:sz="0" w:space="0" w:color="auto"/>
            <w:left w:val="none" w:sz="0" w:space="0" w:color="auto"/>
            <w:bottom w:val="none" w:sz="0" w:space="0" w:color="auto"/>
            <w:right w:val="none" w:sz="0" w:space="0" w:color="auto"/>
          </w:divBdr>
        </w:div>
        <w:div w:id="1801412695">
          <w:marLeft w:val="0"/>
          <w:marRight w:val="0"/>
          <w:marTop w:val="0"/>
          <w:marBottom w:val="0"/>
          <w:divBdr>
            <w:top w:val="none" w:sz="0" w:space="0" w:color="auto"/>
            <w:left w:val="none" w:sz="0" w:space="0" w:color="auto"/>
            <w:bottom w:val="none" w:sz="0" w:space="0" w:color="auto"/>
            <w:right w:val="none" w:sz="0" w:space="0" w:color="auto"/>
          </w:divBdr>
        </w:div>
        <w:div w:id="188298493">
          <w:marLeft w:val="0"/>
          <w:marRight w:val="0"/>
          <w:marTop w:val="0"/>
          <w:marBottom w:val="0"/>
          <w:divBdr>
            <w:top w:val="none" w:sz="0" w:space="0" w:color="auto"/>
            <w:left w:val="none" w:sz="0" w:space="0" w:color="auto"/>
            <w:bottom w:val="none" w:sz="0" w:space="0" w:color="auto"/>
            <w:right w:val="none" w:sz="0" w:space="0" w:color="auto"/>
          </w:divBdr>
        </w:div>
      </w:divsChild>
    </w:div>
    <w:div w:id="1886330771">
      <w:bodyDiv w:val="1"/>
      <w:marLeft w:val="0"/>
      <w:marRight w:val="0"/>
      <w:marTop w:val="0"/>
      <w:marBottom w:val="0"/>
      <w:divBdr>
        <w:top w:val="none" w:sz="0" w:space="0" w:color="auto"/>
        <w:left w:val="none" w:sz="0" w:space="0" w:color="auto"/>
        <w:bottom w:val="none" w:sz="0" w:space="0" w:color="auto"/>
        <w:right w:val="none" w:sz="0" w:space="0" w:color="auto"/>
      </w:divBdr>
    </w:div>
    <w:div w:id="20288303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nicola.griffiths@stockport.gov.u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1062</Words>
  <Characters>6054</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Warrington Borough Council</Company>
  <LinksUpToDate>false</LinksUpToDate>
  <CharactersWithSpaces>7102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Pullan, Laurence</dc:creator>
  <cp:keywords/>
  <dc:description/>
  <cp:lastModifiedBy>Nicola Griffiths</cp:lastModifiedBy>
  <cp:revision>60</cp:revision>
  <dcterms:created xsi:type="dcterms:W3CDTF">2025-06-09T08:09:00Z</dcterms:created>
  <dcterms:modified xsi:type="dcterms:W3CDTF">2025-06-24T14:37:00Z</dcterms:modified>
</cp:coreProperties>
</file>